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rtl/>
              </w:rPr>
              <w:alias w:val="1180"/>
              <w:tag w:val="1180"/>
              <w:id w:val="637458750"/>
              <w:text w:multiLine="1"/>
            </w:sdtPr>
            <w:sdtEndPr/>
            <w:sdtContent>
              <w:p w:rsidR="00A319FF" w:rsidRDefault="00836829">
                <w:pPr>
                  <w:suppressLineNumbers/>
                  <w:rPr>
                    <w:rFonts w:ascii="Arial" w:hAnsi="Arial"/>
                    <w:b/>
                    <w:bCs/>
                    <w:noProof w:val="0"/>
                    <w:sz w:val="26"/>
                    <w:szCs w:val="26"/>
                    <w:rtl/>
                  </w:rPr>
                </w:pPr>
                <w:r w:rsidRPr="00477A1B">
                  <w:rPr>
                    <w:rFonts w:ascii="Arial" w:hAnsi="Arial"/>
                    <w:b/>
                    <w:bCs/>
                    <w:noProof w:val="0"/>
                    <w:sz w:val="26"/>
                    <w:szCs w:val="26"/>
                    <w:rtl/>
                  </w:rPr>
                  <w:t>מבקש</w:t>
                </w:r>
                <w:r w:rsidRPr="00477A1B">
                  <w:rPr>
                    <w:rFonts w:ascii="Arial" w:hAnsi="Arial" w:hint="cs"/>
                    <w:b/>
                    <w:bCs/>
                    <w:noProof w:val="0"/>
                    <w:sz w:val="26"/>
                    <w:szCs w:val="26"/>
                    <w:rtl/>
                  </w:rPr>
                  <w:t>ות</w:t>
                </w:r>
                <w:r w:rsidR="00477A1B">
                  <w:rPr>
                    <w:rFonts w:hint="cs"/>
                    <w:b/>
                    <w:bCs/>
                    <w:rtl/>
                  </w:rPr>
                  <w:t>/משיבות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CB0942" w:rsidP="001A1F3D">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064651">
                  <w:rPr>
                    <w:rFonts w:ascii="Arial" w:hAnsi="Arial"/>
                    <w:b/>
                    <w:bCs/>
                    <w:noProof w:val="0"/>
                    <w:sz w:val="26"/>
                    <w:szCs w:val="26"/>
                    <w:rtl/>
                  </w:rPr>
                  <w:t>1</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2076122985"/>
                <w:text w:multiLine="1"/>
              </w:sdtPr>
              <w:sdtEndPr/>
              <w:sdtContent>
                <w:r w:rsidR="001A1F3D">
                  <w:rPr>
                    <w:rFonts w:ascii="Arial" w:hAnsi="Arial" w:hint="cs"/>
                    <w:b/>
                    <w:bCs/>
                    <w:noProof w:val="0"/>
                    <w:sz w:val="26"/>
                    <w:szCs w:val="26"/>
                    <w:rtl/>
                  </w:rPr>
                  <w:t>פלונית</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1A1F3D">
              <w:rPr>
                <w:rFonts w:ascii="Arial" w:hAnsi="Arial" w:hint="cs"/>
                <w:b/>
                <w:bCs/>
                <w:noProof w:val="0"/>
                <w:sz w:val="26"/>
                <w:szCs w:val="26"/>
                <w:rtl/>
              </w:rPr>
              <w:t>-------</w:t>
            </w:r>
          </w:p>
          <w:p w:rsidR="0094424E" w:rsidRDefault="00CB0942" w:rsidP="001A1F3D">
            <w:pPr>
              <w:suppressLineNumbers/>
              <w:rPr>
                <w:rFonts w:ascii="Arial" w:hAnsi="Arial"/>
                <w:b/>
                <w:bCs/>
                <w:noProof w:val="0"/>
                <w:sz w:val="26"/>
                <w:szCs w:val="26"/>
                <w:rtl/>
              </w:rPr>
            </w:pPr>
            <w:sdt>
              <w:sdtPr>
                <w:rPr>
                  <w:rFonts w:ascii="Arial" w:hAnsi="Arial"/>
                  <w:b/>
                  <w:bCs/>
                  <w:noProof w:val="0"/>
                  <w:sz w:val="26"/>
                  <w:szCs w:val="26"/>
                  <w:rtl/>
                </w:rPr>
                <w:alias w:val="1462"/>
                <w:tag w:val="1462"/>
                <w:id w:val="-944229181"/>
                <w:text w:multiLine="1"/>
              </w:sdtPr>
              <w:sdtEndPr/>
              <w:sdtContent>
                <w:r w:rsidR="00064651">
                  <w:rPr>
                    <w:rFonts w:ascii="Arial" w:hAnsi="Arial"/>
                    <w:b/>
                    <w:bCs/>
                    <w:noProof w:val="0"/>
                    <w:sz w:val="26"/>
                    <w:szCs w:val="26"/>
                    <w:rtl/>
                  </w:rPr>
                  <w:t>2</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2039235331"/>
                <w:text w:multiLine="1"/>
              </w:sdtPr>
              <w:sdtEndPr/>
              <w:sdtContent>
                <w:r w:rsidR="001A1F3D">
                  <w:rPr>
                    <w:rFonts w:ascii="Arial" w:hAnsi="Arial" w:hint="cs"/>
                    <w:b/>
                    <w:bCs/>
                    <w:noProof w:val="0"/>
                    <w:sz w:val="26"/>
                    <w:szCs w:val="26"/>
                    <w:rtl/>
                  </w:rPr>
                  <w:t>אלמונית</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7952366"/>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1A1F3D">
              <w:rPr>
                <w:rFonts w:ascii="Arial" w:hAnsi="Arial" w:hint="cs"/>
                <w:b/>
                <w:bCs/>
                <w:noProof w:val="0"/>
                <w:sz w:val="26"/>
                <w:szCs w:val="26"/>
                <w:rtl/>
              </w:rPr>
              <w:t>------</w:t>
            </w:r>
          </w:p>
          <w:p w:rsidR="00477A1B" w:rsidRDefault="00477A1B" w:rsidP="00897DAF">
            <w:pPr>
              <w:suppressLineNumbers/>
              <w:rPr>
                <w:b/>
                <w:bCs/>
                <w:noProof w:val="0"/>
                <w:sz w:val="26"/>
                <w:szCs w:val="26"/>
              </w:rPr>
            </w:pPr>
            <w:r>
              <w:rPr>
                <w:rFonts w:hint="cs"/>
                <w:b/>
                <w:bCs/>
                <w:noProof w:val="0"/>
                <w:sz w:val="26"/>
                <w:szCs w:val="26"/>
                <w:rtl/>
              </w:rPr>
              <w:t>על ידי ב"כ עו"ד ל. סנדלר</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477A1B">
            <w:pPr>
              <w:suppressLineNumbers/>
              <w:jc w:val="center"/>
              <w:rPr>
                <w:rFonts w:ascii="Arial" w:hAnsi="Arial"/>
                <w:b/>
                <w:bCs/>
                <w:noProof w:val="0"/>
                <w:sz w:val="26"/>
                <w:szCs w:val="26"/>
                <w:rtl/>
              </w:rPr>
            </w:pPr>
            <w:r>
              <w:rPr>
                <w:rFonts w:ascii="Arial" w:hAnsi="Arial"/>
                <w:b/>
                <w:bCs/>
                <w:noProof w:val="0"/>
                <w:sz w:val="26"/>
                <w:szCs w:val="26"/>
                <w:rtl/>
              </w:rPr>
              <w:t>נגד</w:t>
            </w:r>
          </w:p>
          <w:p w:rsidR="00477A1B" w:rsidRDefault="00477A1B" w:rsidP="00477A1B">
            <w:pPr>
              <w:suppressLineNumbers/>
              <w:jc w:val="center"/>
              <w:rPr>
                <w:rFonts w:ascii="Arial" w:hAnsi="Arial"/>
                <w:b/>
                <w:bCs/>
                <w:noProof w:val="0"/>
                <w:sz w:val="26"/>
                <w:szCs w:val="26"/>
              </w:rPr>
            </w:pPr>
          </w:p>
        </w:tc>
      </w:tr>
      <w:tr w:rsidR="0094424E">
        <w:trPr>
          <w:jc w:val="center"/>
        </w:trPr>
        <w:tc>
          <w:tcPr>
            <w:tcW w:w="3249" w:type="dxa"/>
            <w:gridSpan w:val="2"/>
          </w:tcPr>
          <w:p w:rsidR="0094424E" w:rsidRDefault="00CB0942" w:rsidP="00D44968">
            <w:pPr>
              <w:suppressLineNumbers/>
              <w:rPr>
                <w:rFonts w:ascii="Arial" w:hAnsi="Arial"/>
                <w:b/>
                <w:bCs/>
                <w:noProof w:val="0"/>
                <w:sz w:val="26"/>
                <w:szCs w:val="26"/>
              </w:rPr>
            </w:pPr>
            <w:sdt>
              <w:sdtPr>
                <w:rPr>
                  <w:rtl/>
                </w:rPr>
                <w:alias w:val="1184"/>
                <w:tag w:val="1184"/>
                <w:id w:val="-340621022"/>
                <w:text w:multiLine="1"/>
              </w:sdtPr>
              <w:sdtEndPr/>
              <w:sdtContent>
                <w:r w:rsidR="00477A1B">
                  <w:rPr>
                    <w:rFonts w:ascii="Arial" w:hAnsi="Arial"/>
                    <w:b/>
                    <w:bCs/>
                    <w:noProof w:val="0"/>
                    <w:sz w:val="26"/>
                    <w:szCs w:val="26"/>
                    <w:rtl/>
                  </w:rPr>
                  <w:t>משיב</w:t>
                </w:r>
                <w:r w:rsidR="00477A1B">
                  <w:rPr>
                    <w:rFonts w:ascii="Arial" w:hAnsi="Arial" w:hint="cs"/>
                    <w:b/>
                    <w:bCs/>
                    <w:noProof w:val="0"/>
                    <w:sz w:val="26"/>
                    <w:szCs w:val="26"/>
                    <w:rtl/>
                  </w:rPr>
                  <w:t>/מבקש</w:t>
                </w:r>
              </w:sdtContent>
            </w:sdt>
          </w:p>
        </w:tc>
        <w:tc>
          <w:tcPr>
            <w:tcW w:w="5571" w:type="dxa"/>
          </w:tcPr>
          <w:p w:rsidR="00477A1B" w:rsidRDefault="00CB0942" w:rsidP="001A1F3D">
            <w:pPr>
              <w:suppressLineNumbers/>
              <w:rPr>
                <w:rtl/>
              </w:rPr>
            </w:pPr>
            <w:sdt>
              <w:sdtPr>
                <w:rPr>
                  <w:rtl/>
                </w:rPr>
                <w:alias w:val="1486"/>
                <w:tag w:val="1486"/>
                <w:id w:val="-309872140"/>
                <w:text w:multiLine="1"/>
              </w:sdtPr>
              <w:sdtEndPr/>
              <w:sdtContent>
                <w:r w:rsidR="00477A1B">
                  <w:rPr>
                    <w:rFonts w:ascii="Arial" w:hAnsi="Arial" w:hint="cs"/>
                    <w:b/>
                    <w:bCs/>
                    <w:noProof w:val="0"/>
                    <w:sz w:val="26"/>
                    <w:szCs w:val="26"/>
                    <w:rtl/>
                  </w:rPr>
                  <w:t>קטין</w:t>
                </w:r>
                <w:r w:rsidR="001A1F3D">
                  <w:rPr>
                    <w:rFonts w:ascii="Arial" w:hAnsi="Arial" w:hint="cs"/>
                    <w:b/>
                    <w:bCs/>
                    <w:noProof w:val="0"/>
                    <w:sz w:val="26"/>
                    <w:szCs w:val="26"/>
                    <w:rtl/>
                  </w:rPr>
                  <w:t xml:space="preserve"> ת"ז</w:t>
                </w:r>
                <w:r w:rsidR="001A1F3D">
                  <w:rPr>
                    <w:rFonts w:hint="cs"/>
                    <w:rtl/>
                  </w:rPr>
                  <w:t>-----------</w:t>
                </w:r>
              </w:sdtContent>
            </w:sdt>
            <w:r w:rsidR="00477A1B">
              <w:rPr>
                <w:rFonts w:hint="cs"/>
                <w:rtl/>
              </w:rPr>
              <w:t xml:space="preserve"> </w:t>
            </w:r>
          </w:p>
          <w:p w:rsidR="0094424E" w:rsidRDefault="00CB0942" w:rsidP="001A1F3D">
            <w:pPr>
              <w:suppressLineNumbers/>
              <w:rPr>
                <w:rFonts w:ascii="Arial" w:hAnsi="Arial"/>
                <w:b/>
                <w:bCs/>
                <w:noProof w:val="0"/>
                <w:sz w:val="26"/>
                <w:szCs w:val="26"/>
                <w:rtl/>
              </w:rPr>
            </w:pPr>
            <w:sdt>
              <w:sdtPr>
                <w:rPr>
                  <w:rtl/>
                </w:rPr>
                <w:alias w:val="1571"/>
                <w:tag w:val="1571"/>
                <w:id w:val="870347873"/>
                <w:text w:multiLine="1"/>
              </w:sdtPr>
              <w:sdtEndPr/>
              <w:sdtContent>
                <w:r w:rsidR="00477A1B">
                  <w:rPr>
                    <w:rFonts w:ascii="Arial" w:hAnsi="Arial" w:hint="cs"/>
                    <w:b/>
                    <w:bCs/>
                    <w:noProof w:val="0"/>
                    <w:sz w:val="26"/>
                    <w:szCs w:val="26"/>
                    <w:rtl/>
                  </w:rPr>
                  <w:t>באמצעות אמו,</w:t>
                </w:r>
              </w:sdtContent>
            </w:sdt>
            <w:r w:rsidR="00477A1B">
              <w:rPr>
                <w:rFonts w:ascii="Arial" w:hAnsi="Arial" w:hint="cs"/>
                <w:b/>
                <w:bCs/>
                <w:noProof w:val="0"/>
                <w:sz w:val="26"/>
                <w:szCs w:val="26"/>
                <w:rtl/>
              </w:rPr>
              <w:t xml:space="preserve"> </w:t>
            </w:r>
            <w:sdt>
              <w:sdtPr>
                <w:rPr>
                  <w:rtl/>
                </w:rPr>
                <w:alias w:val="1486"/>
                <w:tag w:val="1486"/>
                <w:id w:val="1956365901"/>
                <w:text w:multiLine="1"/>
              </w:sdtPr>
              <w:sdtEndPr/>
              <w:sdtContent>
                <w:r w:rsidR="001A1F3D">
                  <w:rPr>
                    <w:rFonts w:ascii="Arial" w:hAnsi="Arial" w:hint="cs"/>
                    <w:b/>
                    <w:bCs/>
                    <w:noProof w:val="0"/>
                    <w:sz w:val="26"/>
                    <w:szCs w:val="26"/>
                    <w:rtl/>
                  </w:rPr>
                  <w:t>א'</w:t>
                </w:r>
              </w:sdtContent>
            </w:sdt>
            <w:r w:rsidR="00E54CD9">
              <w:rPr>
                <w:rFonts w:hint="cs"/>
                <w:rtl/>
              </w:rPr>
              <w:t xml:space="preserve"> </w:t>
            </w:r>
            <w:sdt>
              <w:sdtPr>
                <w:rPr>
                  <w:rFonts w:ascii="Arial" w:hAnsi="Arial" w:hint="cs"/>
                  <w:b/>
                  <w:bCs/>
                  <w:noProof w:val="0"/>
                  <w:sz w:val="26"/>
                  <w:szCs w:val="26"/>
                  <w:rtl/>
                </w:rPr>
                <w:alias w:val="2317"/>
                <w:tag w:val="2317"/>
                <w:id w:val="-401444350"/>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1A1F3D">
              <w:rPr>
                <w:rFonts w:ascii="Arial" w:hAnsi="Arial" w:hint="cs"/>
                <w:b/>
                <w:bCs/>
                <w:noProof w:val="0"/>
                <w:sz w:val="26"/>
                <w:szCs w:val="26"/>
                <w:rtl/>
              </w:rPr>
              <w:t>---------</w:t>
            </w:r>
          </w:p>
          <w:p w:rsidR="001A0974" w:rsidRPr="00E54CD9" w:rsidRDefault="001A0974" w:rsidP="00477A1B">
            <w:pPr>
              <w:suppressLineNumbers/>
              <w:rPr>
                <w:rFonts w:ascii="Arial" w:hAnsi="Arial"/>
                <w:b/>
                <w:bCs/>
                <w:noProof w:val="0"/>
                <w:sz w:val="26"/>
                <w:szCs w:val="26"/>
                <w:rtl/>
              </w:rPr>
            </w:pPr>
            <w:r>
              <w:rPr>
                <w:rFonts w:ascii="Arial" w:hAnsi="Arial" w:hint="cs"/>
                <w:b/>
                <w:bCs/>
                <w:noProof w:val="0"/>
                <w:sz w:val="26"/>
                <w:szCs w:val="26"/>
                <w:rtl/>
              </w:rPr>
              <w:t>על ידי ב"כ עו"ד י. שוקרון</w:t>
            </w:r>
          </w:p>
          <w:p w:rsidR="0094424E" w:rsidRPr="00E54CD9" w:rsidRDefault="0094424E" w:rsidP="00477A1B">
            <w:pPr>
              <w:suppressLineNumbers/>
              <w:rPr>
                <w:rFonts w:ascii="Arial" w:hAnsi="Arial"/>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A319FF" w:rsidRDefault="00A319FF">
            <w:pPr>
              <w:rPr>
                <w:rFonts w:ascii="David" w:eastAsia="David" w:hAnsi="David"/>
                <w:noProof w:val="0"/>
              </w:rPr>
            </w:pPr>
          </w:p>
        </w:tc>
        <w:tc>
          <w:tcPr>
            <w:tcW w:w="5571" w:type="dxa"/>
          </w:tcPr>
          <w:p w:rsidR="00A319FF" w:rsidRDefault="00A319FF">
            <w:pPr>
              <w:rPr>
                <w:b/>
                <w:bCs/>
                <w:sz w:val="26"/>
                <w:szCs w:val="26"/>
              </w:rPr>
            </w:pPr>
          </w:p>
        </w:tc>
      </w:tr>
      <w:tr w:rsidR="004C17EE" w:rsidTr="00D620FD">
        <w:trPr>
          <w:jc w:val="center"/>
        </w:trPr>
        <w:tc>
          <w:tcPr>
            <w:tcW w:w="8820" w:type="dxa"/>
            <w:gridSpan w:val="3"/>
          </w:tcPr>
          <w:p w:rsidR="004C17EE" w:rsidRDefault="004C17EE" w:rsidP="001A1F3D">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r w:rsidR="001A1F3D">
              <w:rPr>
                <w:rFonts w:hint="cs"/>
                <w:b/>
                <w:bCs/>
                <w:sz w:val="26"/>
                <w:szCs w:val="26"/>
                <w:rtl/>
              </w:rPr>
              <w:t>המנוח</w:t>
            </w:r>
            <w:sdt>
              <w:sdtPr>
                <w:rPr>
                  <w:rFonts w:hint="cs"/>
                  <w:b/>
                  <w:bCs/>
                  <w:sz w:val="26"/>
                  <w:szCs w:val="26"/>
                  <w:rtl/>
                </w:rPr>
                <w:alias w:val="2879"/>
                <w:tag w:val="2879"/>
                <w:id w:val="1846285871"/>
                <w:placeholder>
                  <w:docPart w:val="9DC4FF55E52B4E209349FC40470DD418"/>
                </w:placeholder>
                <w:text w:multiLine="1"/>
              </w:sdtPr>
              <w:sdtEndPr/>
              <w:sdtContent>
                <w:r>
                  <w:rPr>
                    <w:rFonts w:hint="eastAsia"/>
                    <w:b/>
                    <w:bCs/>
                    <w:sz w:val="26"/>
                    <w:szCs w:val="26"/>
                    <w:rtl/>
                  </w:rPr>
                  <w:t xml:space="preserve"> ז"ל</w:t>
                </w:r>
              </w:sdtContent>
            </w:sdt>
            <w:r w:rsidRPr="00CD608F">
              <w:rPr>
                <w:rFonts w:hint="cs"/>
                <w:b/>
                <w:bCs/>
                <w:sz w:val="26"/>
                <w:szCs w:val="26"/>
                <w:rtl/>
              </w:rPr>
              <w:t xml:space="preserve">, </w:t>
            </w:r>
            <w:sdt>
              <w:sdtPr>
                <w:rPr>
                  <w:rFonts w:hint="cs"/>
                  <w:b/>
                  <w:bCs/>
                  <w:sz w:val="26"/>
                  <w:szCs w:val="26"/>
                  <w:rtl/>
                </w:rPr>
                <w:alias w:val="2876"/>
                <w:tag w:val="2876"/>
                <w:id w:val="823704220"/>
                <w:placeholder>
                  <w:docPart w:val="112E7BE5CCF64A68A3D497F283A4D695"/>
                </w:placeholder>
                <w:text w:multiLine="1"/>
              </w:sdtPr>
              <w:sdtEndPr/>
              <w:sdtContent>
                <w:r>
                  <w:rPr>
                    <w:rFonts w:hint="eastAsia"/>
                    <w:b/>
                    <w:bCs/>
                    <w:sz w:val="26"/>
                    <w:szCs w:val="26"/>
                    <w:rtl/>
                  </w:rPr>
                  <w:t>ת"ז</w:t>
                </w:r>
              </w:sdtContent>
            </w:sdt>
            <w:r w:rsidRPr="00CD608F">
              <w:rPr>
                <w:b/>
                <w:bCs/>
                <w:sz w:val="26"/>
                <w:szCs w:val="26"/>
                <w:rtl/>
              </w:rPr>
              <w:t xml:space="preserve"> </w:t>
            </w:r>
            <w:r w:rsidR="001A1F3D">
              <w:rPr>
                <w:rFonts w:ascii="Arial" w:hAnsi="Arial" w:hint="cs"/>
                <w:b/>
                <w:bCs/>
                <w:noProof w:val="0"/>
                <w:sz w:val="26"/>
                <w:szCs w:val="26"/>
                <w:rtl/>
              </w:rPr>
              <w:t>----------</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9325A1">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836829" w:rsidP="009325A1">
      <w:pPr>
        <w:spacing w:after="120" w:line="360" w:lineRule="auto"/>
        <w:jc w:val="both"/>
        <w:rPr>
          <w:rFonts w:ascii="Arial" w:hAnsi="Arial"/>
          <w:noProof w:val="0"/>
          <w:rtl/>
        </w:rPr>
      </w:pPr>
      <w:bookmarkStart w:id="0" w:name="NGCSBookmark"/>
      <w:bookmarkEnd w:id="0"/>
      <w:r>
        <w:rPr>
          <w:rFonts w:ascii="Arial" w:hAnsi="Arial" w:hint="cs"/>
          <w:noProof w:val="0"/>
          <w:rtl/>
        </w:rPr>
        <w:t>עניינ</w:t>
      </w:r>
      <w:r w:rsidR="009325A1">
        <w:rPr>
          <w:rFonts w:ascii="Arial" w:hAnsi="Arial" w:hint="cs"/>
          <w:noProof w:val="0"/>
          <w:rtl/>
        </w:rPr>
        <w:t xml:space="preserve">ו של פסק דין זה </w:t>
      </w:r>
      <w:r>
        <w:rPr>
          <w:rFonts w:ascii="Arial" w:hAnsi="Arial" w:hint="cs"/>
          <w:noProof w:val="0"/>
          <w:rtl/>
        </w:rPr>
        <w:t>בשאלה האם ילד שנולד מתרומת זרע י</w:t>
      </w:r>
      <w:r w:rsidR="00C83C87">
        <w:rPr>
          <w:rFonts w:ascii="Arial" w:hAnsi="Arial" w:hint="cs"/>
          <w:noProof w:val="0"/>
          <w:rtl/>
        </w:rPr>
        <w:t>ורש על פי דין.</w:t>
      </w:r>
    </w:p>
    <w:p w:rsidR="00C83C87" w:rsidRPr="004D288C" w:rsidRDefault="00C83C87" w:rsidP="004D288C">
      <w:pPr>
        <w:pStyle w:val="ad"/>
        <w:numPr>
          <w:ilvl w:val="0"/>
          <w:numId w:val="2"/>
        </w:numPr>
        <w:spacing w:after="120" w:line="360" w:lineRule="auto"/>
        <w:ind w:left="567" w:hanging="567"/>
        <w:jc w:val="both"/>
        <w:rPr>
          <w:rFonts w:ascii="Arial" w:hAnsi="Arial"/>
          <w:b/>
          <w:bCs/>
          <w:noProof w:val="0"/>
          <w:u w:val="single"/>
          <w:rtl/>
        </w:rPr>
      </w:pPr>
      <w:r w:rsidRPr="004D288C">
        <w:rPr>
          <w:rFonts w:ascii="Arial" w:hAnsi="Arial" w:hint="cs"/>
          <w:b/>
          <w:bCs/>
          <w:noProof w:val="0"/>
          <w:u w:val="single"/>
          <w:rtl/>
        </w:rPr>
        <w:t>רקע ונסיבות הענין:</w:t>
      </w:r>
    </w:p>
    <w:p w:rsidR="00F87B6B" w:rsidRDefault="007756D1" w:rsidP="001A1F3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המנוח, </w:t>
      </w:r>
      <w:r w:rsidR="001A1F3D">
        <w:rPr>
          <w:rFonts w:ascii="Arial" w:hAnsi="Arial" w:hint="cs"/>
          <w:noProof w:val="0"/>
          <w:rtl/>
        </w:rPr>
        <w:t>------</w:t>
      </w:r>
      <w:r>
        <w:rPr>
          <w:rFonts w:ascii="Arial" w:hAnsi="Arial" w:hint="cs"/>
          <w:noProof w:val="0"/>
          <w:rtl/>
        </w:rPr>
        <w:t xml:space="preserve"> ז"ל אשר נפטר ביום 30.11.2022 ונשא בחייו תעודת זהות שמספרה </w:t>
      </w:r>
      <w:r w:rsidR="001A1F3D">
        <w:rPr>
          <w:rFonts w:ascii="Arial" w:hAnsi="Arial" w:hint="cs"/>
          <w:noProof w:val="0"/>
          <w:rtl/>
        </w:rPr>
        <w:t>------</w:t>
      </w:r>
      <w:r>
        <w:rPr>
          <w:rFonts w:ascii="Arial" w:hAnsi="Arial" w:hint="cs"/>
          <w:noProof w:val="0"/>
          <w:rtl/>
        </w:rPr>
        <w:t xml:space="preserve"> (</w:t>
      </w:r>
      <w:r>
        <w:rPr>
          <w:rFonts w:ascii="Arial" w:hAnsi="Arial" w:hint="cs"/>
          <w:b/>
          <w:bCs/>
          <w:noProof w:val="0"/>
          <w:rtl/>
        </w:rPr>
        <w:t>"המנוח"</w:t>
      </w:r>
      <w:r>
        <w:rPr>
          <w:rFonts w:ascii="Arial" w:hAnsi="Arial" w:hint="cs"/>
          <w:noProof w:val="0"/>
          <w:rtl/>
        </w:rPr>
        <w:t>) והמשיבה 2 (</w:t>
      </w:r>
      <w:r>
        <w:rPr>
          <w:rFonts w:ascii="Arial" w:hAnsi="Arial" w:hint="cs"/>
          <w:b/>
          <w:bCs/>
          <w:noProof w:val="0"/>
          <w:rtl/>
        </w:rPr>
        <w:t xml:space="preserve">"האֵם" </w:t>
      </w:r>
      <w:r>
        <w:rPr>
          <w:rFonts w:ascii="Arial" w:hAnsi="Arial" w:hint="cs"/>
          <w:noProof w:val="0"/>
          <w:rtl/>
        </w:rPr>
        <w:t xml:space="preserve">או </w:t>
      </w:r>
      <w:r>
        <w:rPr>
          <w:rFonts w:ascii="Arial" w:hAnsi="Arial" w:hint="cs"/>
          <w:b/>
          <w:bCs/>
          <w:noProof w:val="0"/>
          <w:rtl/>
        </w:rPr>
        <w:t>"</w:t>
      </w:r>
      <w:r w:rsidR="001A1F3D">
        <w:rPr>
          <w:rFonts w:ascii="Arial" w:hAnsi="Arial" w:hint="cs"/>
          <w:b/>
          <w:bCs/>
          <w:noProof w:val="0"/>
          <w:rtl/>
        </w:rPr>
        <w:t>א'</w:t>
      </w:r>
      <w:r>
        <w:rPr>
          <w:rFonts w:ascii="Arial" w:hAnsi="Arial" w:hint="cs"/>
          <w:b/>
          <w:bCs/>
          <w:noProof w:val="0"/>
          <w:rtl/>
        </w:rPr>
        <w:t>"</w:t>
      </w:r>
      <w:r>
        <w:rPr>
          <w:rFonts w:ascii="Arial" w:hAnsi="Arial" w:hint="cs"/>
          <w:noProof w:val="0"/>
          <w:rtl/>
        </w:rPr>
        <w:t>) היו בני זוג</w:t>
      </w:r>
      <w:r w:rsidR="008F080D">
        <w:rPr>
          <w:rFonts w:ascii="Arial" w:hAnsi="Arial" w:hint="cs"/>
          <w:noProof w:val="0"/>
          <w:rtl/>
        </w:rPr>
        <w:t xml:space="preserve"> משך שנים רבות (לטענת האֵם, כעשרים שנים)</w:t>
      </w:r>
      <w:r>
        <w:rPr>
          <w:rFonts w:ascii="Arial" w:hAnsi="Arial" w:hint="cs"/>
          <w:noProof w:val="0"/>
          <w:rtl/>
        </w:rPr>
        <w:t xml:space="preserve">. </w:t>
      </w:r>
    </w:p>
    <w:p w:rsidR="008F080D" w:rsidRDefault="00F87B6B" w:rsidP="0031177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6.11.2007 חתמו </w:t>
      </w:r>
      <w:r w:rsidR="0031177C">
        <w:rPr>
          <w:rFonts w:ascii="Arial" w:hAnsi="Arial" w:hint="cs"/>
          <w:noProof w:val="0"/>
          <w:rtl/>
        </w:rPr>
        <w:t>המנוח והאֵם</w:t>
      </w:r>
      <w:r>
        <w:rPr>
          <w:rFonts w:ascii="Arial" w:hAnsi="Arial" w:hint="cs"/>
          <w:noProof w:val="0"/>
          <w:rtl/>
        </w:rPr>
        <w:t xml:space="preserve"> על "הסכם זוגיות" אשר הסדיר, בין היתר, את הסכמתם כי האֵם תבצע הפריה וכי המנוח "יסייע להצלחת תהליך ההפריה" ו"יכיר באבהותו על הוולד/ים, על כל המשתמע מכך"</w:t>
      </w:r>
      <w:r w:rsidR="008F080D">
        <w:rPr>
          <w:rFonts w:ascii="Arial" w:hAnsi="Arial" w:hint="cs"/>
          <w:noProof w:val="0"/>
          <w:rtl/>
        </w:rPr>
        <w:t>.</w:t>
      </w:r>
      <w:r w:rsidR="0031177C">
        <w:rPr>
          <w:rFonts w:ascii="Arial" w:hAnsi="Arial" w:hint="cs"/>
          <w:noProof w:val="0"/>
          <w:rtl/>
        </w:rPr>
        <w:t xml:space="preserve"> ביום 9.7.2010 חתמו המנוח והאֵם על </w:t>
      </w:r>
      <w:r w:rsidR="009325A1">
        <w:rPr>
          <w:rFonts w:ascii="Arial" w:hAnsi="Arial" w:hint="cs"/>
          <w:noProof w:val="0"/>
          <w:rtl/>
        </w:rPr>
        <w:t>"</w:t>
      </w:r>
      <w:r w:rsidR="0031177C">
        <w:rPr>
          <w:rFonts w:ascii="Arial" w:hAnsi="Arial" w:hint="cs"/>
          <w:noProof w:val="0"/>
          <w:rtl/>
        </w:rPr>
        <w:t>טופס הסכמה להחזרת עוברים לגופה של האֵם</w:t>
      </w:r>
      <w:r w:rsidR="009325A1">
        <w:rPr>
          <w:rFonts w:ascii="Arial" w:hAnsi="Arial" w:hint="cs"/>
          <w:noProof w:val="0"/>
          <w:rtl/>
        </w:rPr>
        <w:t>"</w:t>
      </w:r>
      <w:r w:rsidR="0031177C">
        <w:rPr>
          <w:rFonts w:ascii="Arial" w:hAnsi="Arial" w:hint="cs"/>
          <w:noProof w:val="0"/>
          <w:rtl/>
        </w:rPr>
        <w:t xml:space="preserve">. </w:t>
      </w:r>
    </w:p>
    <w:p w:rsidR="007756D1" w:rsidRDefault="008F080D" w:rsidP="001A1F3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באמצעות טיפולי ההפריה, ביום</w:t>
      </w:r>
      <w:r w:rsidR="001A1F3D">
        <w:rPr>
          <w:rFonts w:ascii="Arial" w:hAnsi="Arial" w:hint="cs"/>
          <w:noProof w:val="0"/>
          <w:rtl/>
        </w:rPr>
        <w:t xml:space="preserve"> </w:t>
      </w:r>
      <w:r>
        <w:rPr>
          <w:rFonts w:ascii="Arial" w:hAnsi="Arial" w:hint="cs"/>
          <w:noProof w:val="0"/>
          <w:rtl/>
        </w:rPr>
        <w:t xml:space="preserve">8.2011 </w:t>
      </w:r>
      <w:r w:rsidR="001A1F3D">
        <w:rPr>
          <w:rFonts w:ascii="Arial" w:hAnsi="Arial" w:hint="cs"/>
          <w:noProof w:val="0"/>
          <w:rtl/>
        </w:rPr>
        <w:t xml:space="preserve">.-- </w:t>
      </w:r>
      <w:r>
        <w:rPr>
          <w:rFonts w:ascii="Arial" w:hAnsi="Arial" w:hint="cs"/>
          <w:noProof w:val="0"/>
          <w:rtl/>
        </w:rPr>
        <w:t xml:space="preserve">נולד </w:t>
      </w:r>
      <w:r w:rsidR="001A1F3D">
        <w:rPr>
          <w:rFonts w:ascii="Arial" w:hAnsi="Arial" w:hint="cs"/>
          <w:noProof w:val="0"/>
          <w:rtl/>
        </w:rPr>
        <w:t>-----</w:t>
      </w:r>
      <w:r>
        <w:rPr>
          <w:rFonts w:ascii="Arial" w:hAnsi="Arial" w:hint="cs"/>
          <w:noProof w:val="0"/>
          <w:rtl/>
        </w:rPr>
        <w:t xml:space="preserve"> (</w:t>
      </w:r>
      <w:r w:rsidR="009325A1">
        <w:rPr>
          <w:rFonts w:ascii="Arial" w:hAnsi="Arial" w:hint="cs"/>
          <w:b/>
          <w:bCs/>
          <w:noProof w:val="0"/>
          <w:rtl/>
        </w:rPr>
        <w:t>"הקטין"</w:t>
      </w:r>
      <w:r>
        <w:rPr>
          <w:rFonts w:ascii="Arial" w:hAnsi="Arial" w:hint="cs"/>
          <w:b/>
          <w:bCs/>
          <w:noProof w:val="0"/>
          <w:rtl/>
        </w:rPr>
        <w:t xml:space="preserve"> </w:t>
      </w:r>
      <w:r>
        <w:rPr>
          <w:rFonts w:ascii="Arial" w:hAnsi="Arial" w:hint="cs"/>
          <w:noProof w:val="0"/>
          <w:rtl/>
        </w:rPr>
        <w:t xml:space="preserve">או </w:t>
      </w:r>
      <w:r>
        <w:rPr>
          <w:rFonts w:ascii="Arial" w:hAnsi="Arial" w:hint="cs"/>
          <w:b/>
          <w:bCs/>
          <w:noProof w:val="0"/>
          <w:rtl/>
        </w:rPr>
        <w:t>"</w:t>
      </w:r>
      <w:r w:rsidR="001A1F3D">
        <w:rPr>
          <w:rFonts w:ascii="Arial" w:hAnsi="Arial" w:hint="cs"/>
          <w:b/>
          <w:bCs/>
          <w:noProof w:val="0"/>
          <w:rtl/>
        </w:rPr>
        <w:t>ל'</w:t>
      </w:r>
      <w:r>
        <w:rPr>
          <w:rFonts w:ascii="Arial" w:hAnsi="Arial" w:hint="cs"/>
          <w:b/>
          <w:bCs/>
          <w:noProof w:val="0"/>
          <w:rtl/>
        </w:rPr>
        <w:t>"</w:t>
      </w:r>
      <w:r>
        <w:rPr>
          <w:rFonts w:ascii="Arial" w:hAnsi="Arial" w:hint="cs"/>
          <w:noProof w:val="0"/>
          <w:rtl/>
        </w:rPr>
        <w:t xml:space="preserve">) אשר נושא את שמו של אביו של המנוח. </w:t>
      </w:r>
      <w:r w:rsidR="00893BBD">
        <w:rPr>
          <w:rFonts w:ascii="Arial" w:hAnsi="Arial" w:hint="cs"/>
          <w:noProof w:val="0"/>
          <w:rtl/>
        </w:rPr>
        <w:t>בתעודת הלידה של הקטין רשומים המ</w:t>
      </w:r>
      <w:r w:rsidR="0031177C">
        <w:rPr>
          <w:rFonts w:ascii="Arial" w:hAnsi="Arial" w:hint="cs"/>
          <w:noProof w:val="0"/>
          <w:rtl/>
        </w:rPr>
        <w:t xml:space="preserve">נוח והאֵם כהוריו של הקטין וכך גם בתעודת הזהות של המנוח. </w:t>
      </w:r>
    </w:p>
    <w:p w:rsidR="00DD7F85" w:rsidRDefault="008F080D" w:rsidP="004F2AC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בחודש יולי 2012 או במועד סמוך למועד זה נוצר בין הצדדים קרע והופרדו המגורים. </w:t>
      </w:r>
    </w:p>
    <w:p w:rsidR="008F080D" w:rsidRDefault="008F080D" w:rsidP="00D91410">
      <w:pPr>
        <w:pStyle w:val="ad"/>
        <w:spacing w:after="120" w:line="360" w:lineRule="auto"/>
        <w:ind w:left="567"/>
        <w:contextualSpacing w:val="0"/>
        <w:jc w:val="both"/>
        <w:rPr>
          <w:rFonts w:ascii="Arial" w:hAnsi="Arial"/>
          <w:noProof w:val="0"/>
        </w:rPr>
      </w:pPr>
      <w:r>
        <w:rPr>
          <w:rFonts w:ascii="Arial" w:hAnsi="Arial" w:hint="cs"/>
          <w:noProof w:val="0"/>
          <w:rtl/>
        </w:rPr>
        <w:t>ה</w:t>
      </w:r>
      <w:r w:rsidR="00D91410">
        <w:rPr>
          <w:rFonts w:ascii="Arial" w:hAnsi="Arial" w:hint="cs"/>
          <w:noProof w:val="0"/>
          <w:rtl/>
        </w:rPr>
        <w:t>אֵם והמנוח</w:t>
      </w:r>
      <w:r>
        <w:rPr>
          <w:rFonts w:ascii="Arial" w:hAnsi="Arial" w:hint="cs"/>
          <w:noProof w:val="0"/>
          <w:rtl/>
        </w:rPr>
        <w:t xml:space="preserve"> ניהלו הליכים משפטיים (תביעת מזונות </w:t>
      </w:r>
      <w:r w:rsidR="004F2ACF">
        <w:rPr>
          <w:rFonts w:ascii="Arial" w:hAnsi="Arial" w:hint="cs"/>
          <w:noProof w:val="0"/>
          <w:rtl/>
        </w:rPr>
        <w:t xml:space="preserve">(תמ"ש 38317-07-12), תביעות כספיות ורכושיות (תמ"ש 38342-07-12, תמ"ש 21138-04-14, תמ"ש 8910-01-14, תמ"ש 21108-04-14) </w:t>
      </w:r>
      <w:r w:rsidR="004F2ACF">
        <w:rPr>
          <w:rFonts w:ascii="Arial" w:hAnsi="Arial" w:hint="cs"/>
          <w:noProof w:val="0"/>
          <w:rtl/>
        </w:rPr>
        <w:lastRenderedPageBreak/>
        <w:t xml:space="preserve">וכן תביעה בענין קטין (תמ"ש 38362-07-12) במסגרתו נדונה, בין היתר, סוגיית הנתק בין הקטין והמנוח. </w:t>
      </w:r>
    </w:p>
    <w:p w:rsidR="00C83C87" w:rsidRDefault="004F2ACF" w:rsidP="004F2ACF">
      <w:pPr>
        <w:pStyle w:val="ad"/>
        <w:numPr>
          <w:ilvl w:val="0"/>
          <w:numId w:val="1"/>
        </w:numPr>
        <w:spacing w:after="120" w:line="360" w:lineRule="auto"/>
        <w:ind w:left="567" w:hanging="567"/>
        <w:contextualSpacing w:val="0"/>
        <w:jc w:val="both"/>
        <w:rPr>
          <w:rFonts w:ascii="Arial" w:hAnsi="Arial"/>
          <w:noProof w:val="0"/>
        </w:rPr>
      </w:pPr>
      <w:r w:rsidRPr="004F2ACF">
        <w:rPr>
          <w:rFonts w:ascii="Arial" w:hAnsi="Arial" w:hint="cs"/>
          <w:noProof w:val="0"/>
          <w:rtl/>
        </w:rPr>
        <w:t xml:space="preserve">ביום 30.11.2022 נפטר המנוח וביום </w:t>
      </w:r>
      <w:r w:rsidR="00C83C87" w:rsidRPr="004F2ACF">
        <w:rPr>
          <w:rFonts w:ascii="Arial" w:hAnsi="Arial" w:hint="cs"/>
          <w:noProof w:val="0"/>
          <w:rtl/>
        </w:rPr>
        <w:t xml:space="preserve">17.1.2023 ניתן צו ירושה </w:t>
      </w:r>
      <w:r w:rsidRPr="004F2ACF">
        <w:rPr>
          <w:rFonts w:ascii="Arial" w:hAnsi="Arial" w:hint="cs"/>
          <w:noProof w:val="0"/>
          <w:rtl/>
        </w:rPr>
        <w:t xml:space="preserve">לבקשתה של האֵם </w:t>
      </w:r>
      <w:r w:rsidR="00C83C87" w:rsidRPr="004F2ACF">
        <w:rPr>
          <w:rFonts w:ascii="Arial" w:hAnsi="Arial" w:hint="cs"/>
          <w:noProof w:val="0"/>
          <w:rtl/>
        </w:rPr>
        <w:t>(</w:t>
      </w:r>
      <w:r w:rsidR="00C83C87" w:rsidRPr="004F2ACF">
        <w:rPr>
          <w:rFonts w:ascii="Arial" w:hAnsi="Arial" w:hint="cs"/>
          <w:b/>
          <w:bCs/>
          <w:noProof w:val="0"/>
          <w:rtl/>
        </w:rPr>
        <w:t>"צו הירושה"</w:t>
      </w:r>
      <w:r w:rsidRPr="004F2ACF">
        <w:rPr>
          <w:rFonts w:ascii="Arial" w:hAnsi="Arial" w:hint="cs"/>
          <w:noProof w:val="0"/>
          <w:rtl/>
        </w:rPr>
        <w:t xml:space="preserve">). </w:t>
      </w:r>
      <w:r w:rsidR="00C83C87" w:rsidRPr="004F2ACF">
        <w:rPr>
          <w:rFonts w:ascii="Arial" w:hAnsi="Arial" w:hint="cs"/>
          <w:noProof w:val="0"/>
          <w:rtl/>
        </w:rPr>
        <w:t xml:space="preserve">על פי צו הירושה </w:t>
      </w:r>
      <w:r>
        <w:rPr>
          <w:rFonts w:ascii="Arial" w:hAnsi="Arial" w:hint="cs"/>
          <w:noProof w:val="0"/>
          <w:rtl/>
        </w:rPr>
        <w:t>הקטין הוא היורש היח</w:t>
      </w:r>
      <w:r w:rsidR="00653449">
        <w:rPr>
          <w:rFonts w:ascii="Arial" w:hAnsi="Arial" w:hint="cs"/>
          <w:noProof w:val="0"/>
          <w:rtl/>
        </w:rPr>
        <w:t xml:space="preserve">יד. </w:t>
      </w:r>
    </w:p>
    <w:p w:rsidR="00B71435" w:rsidRPr="00B71435" w:rsidRDefault="00B71435" w:rsidP="004D288C">
      <w:pPr>
        <w:pStyle w:val="ad"/>
        <w:numPr>
          <w:ilvl w:val="0"/>
          <w:numId w:val="2"/>
        </w:numPr>
        <w:spacing w:after="120" w:line="360" w:lineRule="auto"/>
        <w:ind w:left="567" w:hanging="567"/>
        <w:contextualSpacing w:val="0"/>
        <w:jc w:val="both"/>
        <w:rPr>
          <w:rFonts w:ascii="Arial" w:hAnsi="Arial"/>
          <w:b/>
          <w:bCs/>
          <w:noProof w:val="0"/>
          <w:u w:val="single"/>
        </w:rPr>
      </w:pPr>
      <w:r w:rsidRPr="00B71435">
        <w:rPr>
          <w:rFonts w:ascii="Arial" w:hAnsi="Arial" w:hint="cs"/>
          <w:b/>
          <w:bCs/>
          <w:noProof w:val="0"/>
          <w:u w:val="single"/>
          <w:rtl/>
        </w:rPr>
        <w:t>הבקשה לביטול צו הירושה</w:t>
      </w:r>
    </w:p>
    <w:p w:rsidR="00B71435" w:rsidRDefault="00B71435" w:rsidP="00B7143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8.2.2023 הועברה לבית משפט זה בקשה לביטול צו ירושה שהגישו המבקשות - </w:t>
      </w:r>
      <w:r w:rsidR="001A1F3D">
        <w:rPr>
          <w:rFonts w:ascii="Arial" w:hAnsi="Arial" w:hint="cs"/>
          <w:noProof w:val="0"/>
          <w:rtl/>
        </w:rPr>
        <w:t>פלונית</w:t>
      </w:r>
      <w:r>
        <w:rPr>
          <w:rFonts w:ascii="Arial" w:hAnsi="Arial" w:hint="cs"/>
          <w:noProof w:val="0"/>
          <w:rtl/>
        </w:rPr>
        <w:t xml:space="preserve"> </w:t>
      </w:r>
      <w:r w:rsidR="001A1F3D">
        <w:rPr>
          <w:rFonts w:ascii="Arial" w:hAnsi="Arial" w:hint="cs"/>
          <w:noProof w:val="0"/>
          <w:rtl/>
        </w:rPr>
        <w:t>-----</w:t>
      </w:r>
      <w:r>
        <w:rPr>
          <w:rFonts w:ascii="Arial" w:hAnsi="Arial" w:hint="cs"/>
          <w:noProof w:val="0"/>
          <w:rtl/>
        </w:rPr>
        <w:t xml:space="preserve"> ו</w:t>
      </w:r>
      <w:r w:rsidR="001A1F3D">
        <w:rPr>
          <w:rFonts w:ascii="Arial" w:hAnsi="Arial" w:hint="cs"/>
          <w:noProof w:val="0"/>
          <w:rtl/>
        </w:rPr>
        <w:t>אלמונית</w:t>
      </w:r>
      <w:r>
        <w:rPr>
          <w:rFonts w:ascii="Arial" w:hAnsi="Arial" w:hint="cs"/>
          <w:noProof w:val="0"/>
          <w:rtl/>
        </w:rPr>
        <w:t xml:space="preserve"> </w:t>
      </w:r>
      <w:r w:rsidR="001A1F3D">
        <w:rPr>
          <w:rFonts w:ascii="Arial" w:hAnsi="Arial" w:hint="cs"/>
          <w:noProof w:val="0"/>
          <w:rtl/>
        </w:rPr>
        <w:t>-----</w:t>
      </w:r>
      <w:r>
        <w:rPr>
          <w:rFonts w:ascii="Arial" w:hAnsi="Arial" w:hint="cs"/>
          <w:noProof w:val="0"/>
          <w:rtl/>
        </w:rPr>
        <w:t>, אחיותיו של המנוח (</w:t>
      </w:r>
      <w:r>
        <w:rPr>
          <w:rFonts w:ascii="Arial" w:hAnsi="Arial" w:hint="cs"/>
          <w:b/>
          <w:bCs/>
          <w:noProof w:val="0"/>
          <w:rtl/>
        </w:rPr>
        <w:t>"</w:t>
      </w:r>
      <w:r w:rsidR="001A1F3D">
        <w:rPr>
          <w:rFonts w:ascii="Arial" w:hAnsi="Arial" w:hint="cs"/>
          <w:b/>
          <w:bCs/>
          <w:noProof w:val="0"/>
          <w:rtl/>
        </w:rPr>
        <w:t>פלונית</w:t>
      </w:r>
      <w:r>
        <w:rPr>
          <w:rFonts w:ascii="Arial" w:hAnsi="Arial" w:hint="cs"/>
          <w:b/>
          <w:bCs/>
          <w:noProof w:val="0"/>
          <w:rtl/>
        </w:rPr>
        <w:t xml:space="preserve">" </w:t>
      </w:r>
      <w:r>
        <w:rPr>
          <w:rFonts w:ascii="Arial" w:hAnsi="Arial" w:hint="cs"/>
          <w:noProof w:val="0"/>
          <w:rtl/>
        </w:rPr>
        <w:t>ו-</w:t>
      </w:r>
      <w:r>
        <w:rPr>
          <w:rFonts w:ascii="Arial" w:hAnsi="Arial" w:hint="cs"/>
          <w:b/>
          <w:bCs/>
          <w:noProof w:val="0"/>
          <w:rtl/>
        </w:rPr>
        <w:t>"</w:t>
      </w:r>
      <w:r w:rsidR="001A1F3D">
        <w:rPr>
          <w:rFonts w:ascii="Arial" w:hAnsi="Arial" w:hint="cs"/>
          <w:b/>
          <w:bCs/>
          <w:noProof w:val="0"/>
          <w:rtl/>
        </w:rPr>
        <w:t>אלמונית</w:t>
      </w:r>
      <w:r>
        <w:rPr>
          <w:rFonts w:ascii="Arial" w:hAnsi="Arial" w:hint="cs"/>
          <w:b/>
          <w:bCs/>
          <w:noProof w:val="0"/>
          <w:rtl/>
        </w:rPr>
        <w:t xml:space="preserve">" </w:t>
      </w:r>
      <w:r w:rsidRPr="00B71435">
        <w:rPr>
          <w:rFonts w:ascii="Arial" w:hAnsi="Arial" w:hint="cs"/>
          <w:noProof w:val="0"/>
          <w:rtl/>
        </w:rPr>
        <w:t>ויחד,</w:t>
      </w:r>
      <w:r>
        <w:rPr>
          <w:rFonts w:ascii="Arial" w:hAnsi="Arial" w:hint="cs"/>
          <w:b/>
          <w:bCs/>
          <w:noProof w:val="0"/>
          <w:rtl/>
        </w:rPr>
        <w:t xml:space="preserve"> "האחיות"</w:t>
      </w:r>
      <w:r>
        <w:rPr>
          <w:rFonts w:ascii="Arial" w:hAnsi="Arial" w:hint="cs"/>
          <w:noProof w:val="0"/>
          <w:rtl/>
        </w:rPr>
        <w:t>).</w:t>
      </w:r>
    </w:p>
    <w:p w:rsidR="00521DCB" w:rsidRDefault="00521DCB" w:rsidP="00B7143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לטענת האחיות, נודע להן על עצם קיום צו הירושה ביום 24.1.2023, כאשר נכנסה </w:t>
      </w:r>
      <w:r w:rsidR="001A1F3D">
        <w:rPr>
          <w:rFonts w:ascii="Arial" w:hAnsi="Arial" w:hint="cs"/>
          <w:noProof w:val="0"/>
          <w:rtl/>
        </w:rPr>
        <w:t>פלונית</w:t>
      </w:r>
      <w:r>
        <w:rPr>
          <w:rFonts w:ascii="Arial" w:hAnsi="Arial" w:hint="cs"/>
          <w:noProof w:val="0"/>
          <w:rtl/>
        </w:rPr>
        <w:t xml:space="preserve"> לבנק לצורך משיכת כספים מחשבון המנוח לשם כיסוי הוצאות הקבורה ועובדת הבנק המטפלת בחשבון הודיעה כי אין אפשרות למשוך כספים בשל מתן צו הירושה. </w:t>
      </w:r>
    </w:p>
    <w:p w:rsidR="00B71435" w:rsidRDefault="00B71435" w:rsidP="00B7143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הבקשה לביטול צו ירושה מבוססת על שני אדנים:</w:t>
      </w:r>
    </w:p>
    <w:p w:rsidR="00227781" w:rsidRDefault="00B71435" w:rsidP="00521DCB">
      <w:pPr>
        <w:pStyle w:val="ad"/>
        <w:spacing w:after="120" w:line="360" w:lineRule="auto"/>
        <w:ind w:left="567"/>
        <w:contextualSpacing w:val="0"/>
        <w:jc w:val="both"/>
        <w:rPr>
          <w:rFonts w:ascii="Arial" w:hAnsi="Arial"/>
          <w:noProof w:val="0"/>
          <w:rtl/>
        </w:rPr>
      </w:pPr>
      <w:r w:rsidRPr="00227781">
        <w:rPr>
          <w:rFonts w:ascii="Arial" w:hAnsi="Arial" w:hint="cs"/>
          <w:b/>
          <w:bCs/>
          <w:noProof w:val="0"/>
          <w:u w:val="single"/>
          <w:rtl/>
        </w:rPr>
        <w:t>האחד</w:t>
      </w:r>
      <w:r w:rsidRPr="00227781">
        <w:rPr>
          <w:rFonts w:ascii="Arial" w:hAnsi="Arial" w:hint="cs"/>
          <w:b/>
          <w:bCs/>
          <w:noProof w:val="0"/>
          <w:rtl/>
        </w:rPr>
        <w:t xml:space="preserve"> </w:t>
      </w:r>
      <w:r w:rsidR="00521DCB" w:rsidRPr="00227781">
        <w:rPr>
          <w:rFonts w:ascii="Arial" w:hAnsi="Arial" w:hint="cs"/>
          <w:b/>
          <w:bCs/>
          <w:noProof w:val="0"/>
          <w:rtl/>
        </w:rPr>
        <w:t>-</w:t>
      </w:r>
      <w:r w:rsidRPr="00227781">
        <w:rPr>
          <w:rFonts w:ascii="Arial" w:hAnsi="Arial" w:hint="cs"/>
          <w:b/>
          <w:bCs/>
          <w:noProof w:val="0"/>
          <w:rtl/>
        </w:rPr>
        <w:t xml:space="preserve"> המנוח הותיר אחריו צוואה בפני עדים מיום 26.8.2018 ("הצוואה")</w:t>
      </w:r>
      <w:r w:rsidR="00227781">
        <w:rPr>
          <w:rFonts w:ascii="Arial" w:hAnsi="Arial" w:hint="cs"/>
          <w:noProof w:val="0"/>
          <w:rtl/>
        </w:rPr>
        <w:t>:</w:t>
      </w:r>
    </w:p>
    <w:p w:rsidR="00227781" w:rsidRDefault="00227781" w:rsidP="00521DCB">
      <w:pPr>
        <w:pStyle w:val="ad"/>
        <w:spacing w:after="120" w:line="360" w:lineRule="auto"/>
        <w:ind w:left="567"/>
        <w:contextualSpacing w:val="0"/>
        <w:jc w:val="both"/>
        <w:rPr>
          <w:rFonts w:ascii="Arial" w:hAnsi="Arial"/>
          <w:noProof w:val="0"/>
          <w:rtl/>
        </w:rPr>
      </w:pPr>
      <w:r>
        <w:rPr>
          <w:rFonts w:ascii="Arial" w:hAnsi="Arial" w:hint="cs"/>
          <w:noProof w:val="0"/>
          <w:rtl/>
        </w:rPr>
        <w:t>המנוח ציווה את כל רכושו לאחיות והוסיף, כך:</w:t>
      </w:r>
    </w:p>
    <w:p w:rsidR="00227781" w:rsidRDefault="00227781" w:rsidP="00914DE4">
      <w:pPr>
        <w:pStyle w:val="ad"/>
        <w:spacing w:after="120" w:line="360" w:lineRule="auto"/>
        <w:ind w:left="1134" w:right="567"/>
        <w:contextualSpacing w:val="0"/>
        <w:jc w:val="both"/>
        <w:rPr>
          <w:rFonts w:ascii="Arial" w:hAnsi="Arial"/>
          <w:noProof w:val="0"/>
          <w:rtl/>
        </w:rPr>
      </w:pPr>
      <w:r>
        <w:rPr>
          <w:rFonts w:ascii="Arial" w:hAnsi="Arial" w:hint="cs"/>
          <w:noProof w:val="0"/>
          <w:rtl/>
        </w:rPr>
        <w:t>"</w:t>
      </w:r>
      <w:r w:rsidR="00DD7F85">
        <w:rPr>
          <w:rFonts w:ascii="Arial" w:hAnsi="Arial" w:hint="cs"/>
          <w:b/>
          <w:bCs/>
          <w:noProof w:val="0"/>
          <w:rtl/>
        </w:rPr>
        <w:t>הבן שרשום עפ"י משרד ה</w:t>
      </w:r>
      <w:r w:rsidRPr="00227781">
        <w:rPr>
          <w:rFonts w:ascii="Arial" w:hAnsi="Arial" w:hint="cs"/>
          <w:b/>
          <w:bCs/>
          <w:noProof w:val="0"/>
          <w:rtl/>
        </w:rPr>
        <w:t xml:space="preserve">פנים כבני, </w:t>
      </w:r>
      <w:r w:rsidR="001A1F3D">
        <w:rPr>
          <w:rFonts w:ascii="Arial" w:hAnsi="Arial" w:hint="cs"/>
          <w:b/>
          <w:bCs/>
          <w:noProof w:val="0"/>
          <w:rtl/>
        </w:rPr>
        <w:t>ל</w:t>
      </w:r>
      <w:r w:rsidR="001A1F3D">
        <w:rPr>
          <w:rFonts w:ascii="Arial" w:hAnsi="Arial"/>
          <w:b/>
          <w:bCs/>
          <w:noProof w:val="0"/>
          <w:rtl/>
        </w:rPr>
        <w:t>'</w:t>
      </w:r>
      <w:r w:rsidRPr="00227781">
        <w:rPr>
          <w:rFonts w:ascii="Arial" w:hAnsi="Arial" w:hint="cs"/>
          <w:b/>
          <w:bCs/>
          <w:noProof w:val="0"/>
          <w:rtl/>
        </w:rPr>
        <w:t xml:space="preserve"> </w:t>
      </w:r>
      <w:r w:rsidR="001A1F3D">
        <w:rPr>
          <w:rFonts w:ascii="Arial" w:hAnsi="Arial" w:hint="cs"/>
          <w:b/>
          <w:bCs/>
          <w:noProof w:val="0"/>
          <w:rtl/>
        </w:rPr>
        <w:t>-----</w:t>
      </w:r>
      <w:r w:rsidRPr="00227781">
        <w:rPr>
          <w:rFonts w:ascii="Arial" w:hAnsi="Arial" w:hint="cs"/>
          <w:b/>
          <w:bCs/>
          <w:noProof w:val="0"/>
          <w:rtl/>
        </w:rPr>
        <w:t xml:space="preserve"> ת.ז. </w:t>
      </w:r>
      <w:r w:rsidR="001A1F3D">
        <w:rPr>
          <w:rFonts w:ascii="Arial" w:hAnsi="Arial" w:hint="cs"/>
          <w:b/>
          <w:bCs/>
          <w:noProof w:val="0"/>
          <w:rtl/>
        </w:rPr>
        <w:t>-------</w:t>
      </w:r>
      <w:r w:rsidRPr="00227781">
        <w:rPr>
          <w:rFonts w:ascii="Arial" w:hAnsi="Arial" w:hint="cs"/>
          <w:b/>
          <w:bCs/>
          <w:noProof w:val="0"/>
          <w:rtl/>
        </w:rPr>
        <w:t xml:space="preserve">, אינו בני הביולוגי. אין לי קשר משפחתי או קשר נפשי עימו. לא היה קשר ביננו מיום שנפרדתי מאמו, גב' </w:t>
      </w:r>
      <w:r w:rsidR="001A1F3D">
        <w:rPr>
          <w:rFonts w:ascii="Arial" w:hAnsi="Arial" w:hint="cs"/>
          <w:b/>
          <w:bCs/>
          <w:noProof w:val="0"/>
          <w:rtl/>
        </w:rPr>
        <w:t>א</w:t>
      </w:r>
      <w:r w:rsidR="001A1F3D">
        <w:rPr>
          <w:rFonts w:ascii="Arial" w:hAnsi="Arial"/>
          <w:b/>
          <w:bCs/>
          <w:noProof w:val="0"/>
          <w:rtl/>
        </w:rPr>
        <w:t>'</w:t>
      </w:r>
      <w:r w:rsidRPr="00227781">
        <w:rPr>
          <w:rFonts w:ascii="Arial" w:hAnsi="Arial" w:hint="cs"/>
          <w:b/>
          <w:bCs/>
          <w:noProof w:val="0"/>
          <w:rtl/>
        </w:rPr>
        <w:t xml:space="preserve"> </w:t>
      </w:r>
      <w:r w:rsidR="001A1F3D">
        <w:rPr>
          <w:rFonts w:ascii="Arial" w:hAnsi="Arial" w:hint="cs"/>
          <w:b/>
          <w:bCs/>
          <w:noProof w:val="0"/>
          <w:rtl/>
        </w:rPr>
        <w:t>---</w:t>
      </w:r>
      <w:r w:rsidRPr="00227781">
        <w:rPr>
          <w:rFonts w:ascii="Arial" w:hAnsi="Arial" w:hint="cs"/>
          <w:b/>
          <w:bCs/>
          <w:noProof w:val="0"/>
          <w:rtl/>
        </w:rPr>
        <w:t>. הוא זר לי ומבחינתי איננו בן שלי</w:t>
      </w:r>
      <w:r w:rsidRPr="00C575B6">
        <w:rPr>
          <w:rFonts w:ascii="Arial" w:hAnsi="Arial" w:hint="cs"/>
          <w:noProof w:val="0"/>
          <w:rtl/>
        </w:rPr>
        <w:t>".</w:t>
      </w:r>
      <w:r w:rsidR="001A1F3D" w:rsidRPr="00C575B6">
        <w:rPr>
          <w:rFonts w:ascii="Arial" w:hAnsi="Arial" w:hint="cs"/>
          <w:noProof w:val="0"/>
          <w:rtl/>
        </w:rPr>
        <w:t xml:space="preserve"> (שינוי עריכה </w:t>
      </w:r>
      <w:r w:rsidR="00914DE4" w:rsidRPr="00C575B6">
        <w:rPr>
          <w:rFonts w:ascii="Arial" w:hAnsi="Arial" w:hint="cs"/>
          <w:noProof w:val="0"/>
          <w:rtl/>
        </w:rPr>
        <w:t xml:space="preserve">בשל </w:t>
      </w:r>
      <w:r w:rsidR="001A1F3D" w:rsidRPr="00C575B6">
        <w:rPr>
          <w:rFonts w:ascii="Arial" w:hAnsi="Arial" w:hint="cs"/>
          <w:noProof w:val="0"/>
          <w:rtl/>
        </w:rPr>
        <w:t>השמטת פרטים מזהים)</w:t>
      </w:r>
      <w:r w:rsidR="00C575B6">
        <w:rPr>
          <w:rFonts w:ascii="Arial" w:hAnsi="Arial" w:hint="cs"/>
          <w:noProof w:val="0"/>
          <w:rtl/>
        </w:rPr>
        <w:t>.</w:t>
      </w:r>
    </w:p>
    <w:p w:rsidR="00227781" w:rsidRDefault="00227781" w:rsidP="00521DCB">
      <w:pPr>
        <w:pStyle w:val="ad"/>
        <w:spacing w:after="120" w:line="360" w:lineRule="auto"/>
        <w:ind w:left="567"/>
        <w:contextualSpacing w:val="0"/>
        <w:jc w:val="both"/>
        <w:rPr>
          <w:rFonts w:ascii="Arial" w:hAnsi="Arial"/>
          <w:noProof w:val="0"/>
          <w:rtl/>
        </w:rPr>
      </w:pPr>
      <w:r>
        <w:rPr>
          <w:rFonts w:ascii="Arial" w:hAnsi="Arial" w:hint="cs"/>
          <w:noProof w:val="0"/>
          <w:rtl/>
        </w:rPr>
        <w:t xml:space="preserve">הצוואה נחתמה בפני העדים עו"ד צבי גולן ועו"ד אפרת גולוד-קופרברג. </w:t>
      </w:r>
    </w:p>
    <w:p w:rsidR="00B71435" w:rsidRDefault="00227781" w:rsidP="008E6285">
      <w:pPr>
        <w:pStyle w:val="ad"/>
        <w:spacing w:after="120" w:line="360" w:lineRule="auto"/>
        <w:ind w:left="567"/>
        <w:contextualSpacing w:val="0"/>
        <w:jc w:val="both"/>
        <w:rPr>
          <w:rFonts w:ascii="Arial" w:hAnsi="Arial"/>
          <w:noProof w:val="0"/>
          <w:rtl/>
        </w:rPr>
      </w:pPr>
      <w:r>
        <w:rPr>
          <w:rFonts w:ascii="Arial" w:hAnsi="Arial" w:hint="cs"/>
          <w:noProof w:val="0"/>
          <w:rtl/>
        </w:rPr>
        <w:t>לטענת האחיות על אף ש</w:t>
      </w:r>
      <w:r w:rsidR="008E6285">
        <w:rPr>
          <w:rFonts w:ascii="Arial" w:hAnsi="Arial" w:hint="cs"/>
          <w:noProof w:val="0"/>
          <w:rtl/>
        </w:rPr>
        <w:t>האֵם</w:t>
      </w:r>
      <w:r>
        <w:rPr>
          <w:rFonts w:ascii="Arial" w:hAnsi="Arial" w:hint="cs"/>
          <w:noProof w:val="0"/>
          <w:rtl/>
        </w:rPr>
        <w:t xml:space="preserve"> ידעה שהמנוח הותיר אחריו צוואה, </w:t>
      </w:r>
      <w:r w:rsidR="00B71435">
        <w:rPr>
          <w:rFonts w:ascii="Arial" w:hAnsi="Arial" w:hint="cs"/>
          <w:noProof w:val="0"/>
          <w:rtl/>
        </w:rPr>
        <w:t>עותק הצוואה הוסת</w:t>
      </w:r>
      <w:r w:rsidR="00521DCB">
        <w:rPr>
          <w:rFonts w:ascii="Arial" w:hAnsi="Arial" w:hint="cs"/>
          <w:noProof w:val="0"/>
          <w:rtl/>
        </w:rPr>
        <w:t>ר</w:t>
      </w:r>
      <w:r w:rsidR="00B71435">
        <w:rPr>
          <w:rFonts w:ascii="Arial" w:hAnsi="Arial" w:hint="cs"/>
          <w:noProof w:val="0"/>
          <w:rtl/>
        </w:rPr>
        <w:t xml:space="preserve"> מכבוד הרשם בעת מתן צו הירושה. </w:t>
      </w:r>
    </w:p>
    <w:p w:rsidR="00B71435" w:rsidRDefault="00B71435" w:rsidP="00521DCB">
      <w:pPr>
        <w:pStyle w:val="ad"/>
        <w:spacing w:after="120" w:line="360" w:lineRule="auto"/>
        <w:ind w:left="567"/>
        <w:contextualSpacing w:val="0"/>
        <w:jc w:val="both"/>
        <w:rPr>
          <w:rFonts w:ascii="Arial" w:hAnsi="Arial"/>
          <w:noProof w:val="0"/>
          <w:rtl/>
        </w:rPr>
      </w:pPr>
      <w:r w:rsidRPr="00227781">
        <w:rPr>
          <w:rFonts w:ascii="Arial" w:hAnsi="Arial" w:hint="cs"/>
          <w:b/>
          <w:bCs/>
          <w:noProof w:val="0"/>
          <w:u w:val="single"/>
          <w:rtl/>
        </w:rPr>
        <w:t>השני</w:t>
      </w:r>
      <w:r w:rsidRPr="00227781">
        <w:rPr>
          <w:rFonts w:ascii="Arial" w:hAnsi="Arial" w:hint="cs"/>
          <w:b/>
          <w:bCs/>
          <w:noProof w:val="0"/>
          <w:rtl/>
        </w:rPr>
        <w:t xml:space="preserve"> </w:t>
      </w:r>
      <w:r w:rsidR="00521DCB" w:rsidRPr="00227781">
        <w:rPr>
          <w:rFonts w:ascii="Arial" w:hAnsi="Arial" w:hint="cs"/>
          <w:b/>
          <w:bCs/>
          <w:noProof w:val="0"/>
          <w:rtl/>
        </w:rPr>
        <w:t>-</w:t>
      </w:r>
      <w:r w:rsidRPr="00227781">
        <w:rPr>
          <w:rFonts w:ascii="Arial" w:hAnsi="Arial" w:hint="cs"/>
          <w:b/>
          <w:bCs/>
          <w:noProof w:val="0"/>
          <w:rtl/>
        </w:rPr>
        <w:t xml:space="preserve"> הבן אינו בנו הביולוגי של המנוח ולא אומץ על ידי המנוח</w:t>
      </w:r>
      <w:r>
        <w:rPr>
          <w:rFonts w:ascii="Arial" w:hAnsi="Arial" w:hint="cs"/>
          <w:noProof w:val="0"/>
          <w:rtl/>
        </w:rPr>
        <w:t xml:space="preserve">. </w:t>
      </w:r>
    </w:p>
    <w:p w:rsidR="006C3854" w:rsidRDefault="006C3854" w:rsidP="00055893">
      <w:pPr>
        <w:pStyle w:val="ad"/>
        <w:spacing w:after="120" w:line="360" w:lineRule="auto"/>
        <w:ind w:left="567"/>
        <w:contextualSpacing w:val="0"/>
        <w:jc w:val="both"/>
        <w:rPr>
          <w:rFonts w:ascii="Arial" w:hAnsi="Arial"/>
          <w:noProof w:val="0"/>
          <w:rtl/>
        </w:rPr>
      </w:pPr>
      <w:r>
        <w:rPr>
          <w:rFonts w:ascii="Arial" w:hAnsi="Arial" w:hint="cs"/>
          <w:noProof w:val="0"/>
          <w:rtl/>
        </w:rPr>
        <w:t>האחיות צירפו לבקשה פסק דין אשר ניתן ביום 1.2.2015 במסגרת תמ"ש 38317-07-12 (</w:t>
      </w:r>
      <w:r>
        <w:rPr>
          <w:rFonts w:ascii="Arial" w:hAnsi="Arial" w:hint="cs"/>
          <w:b/>
          <w:bCs/>
          <w:noProof w:val="0"/>
          <w:rtl/>
        </w:rPr>
        <w:t>"תביעת המזונות"</w:t>
      </w:r>
      <w:r>
        <w:rPr>
          <w:rFonts w:ascii="Arial" w:hAnsi="Arial" w:hint="cs"/>
          <w:noProof w:val="0"/>
          <w:rtl/>
        </w:rPr>
        <w:t xml:space="preserve">) בו נקבע, בין היתר, כי </w:t>
      </w:r>
      <w:r w:rsidR="00055893">
        <w:rPr>
          <w:rFonts w:ascii="Arial" w:hAnsi="Arial" w:hint="cs"/>
          <w:noProof w:val="0"/>
          <w:rtl/>
        </w:rPr>
        <w:t xml:space="preserve">המנוח חייב במזונות הקטין על אף שהוא אינו אביו הביולוגי. קביעה זו התבססה על "התחייבות חוזית מפורשת, כתובה, לדאוג לקטין" ועל כוונת המנוח בענין הורות כלפי הקטין. </w:t>
      </w:r>
    </w:p>
    <w:p w:rsidR="00D834C5" w:rsidRDefault="00D834C5" w:rsidP="00B7143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הבן, באמצעות האֵם, השיב לבקשה לביטול צו הירושה וטען, כי הוא היורש היחיד מכוח הוראות סעיף 10 לחוק הירושה, תשכ"ה-1965 (</w:t>
      </w:r>
      <w:r>
        <w:rPr>
          <w:rFonts w:ascii="Arial" w:hAnsi="Arial" w:hint="cs"/>
          <w:b/>
          <w:bCs/>
          <w:noProof w:val="0"/>
          <w:rtl/>
        </w:rPr>
        <w:t>"חוק הירושה"</w:t>
      </w:r>
      <w:r>
        <w:rPr>
          <w:rFonts w:ascii="Arial" w:hAnsi="Arial" w:hint="cs"/>
          <w:noProof w:val="0"/>
          <w:rtl/>
        </w:rPr>
        <w:t>).</w:t>
      </w:r>
    </w:p>
    <w:p w:rsidR="00B71435" w:rsidRDefault="00D834C5" w:rsidP="00D834C5">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בהתייחס לקיומה של הצוואה טען הבן, כי המנוח לא היה כשיר בעת עריכת הצוואה וכי הצוואה נערכה ביוזמת </w:t>
      </w:r>
      <w:r w:rsidR="001A1F3D">
        <w:rPr>
          <w:rFonts w:ascii="Arial" w:hAnsi="Arial" w:hint="cs"/>
          <w:noProof w:val="0"/>
          <w:rtl/>
        </w:rPr>
        <w:t>פלונית</w:t>
      </w:r>
      <w:r>
        <w:rPr>
          <w:rFonts w:ascii="Arial" w:hAnsi="Arial" w:hint="cs"/>
          <w:noProof w:val="0"/>
          <w:rtl/>
        </w:rPr>
        <w:t xml:space="preserve"> אשר גם ניהלה עבור המנוח את תביעת המזונות. </w:t>
      </w:r>
    </w:p>
    <w:p w:rsidR="00583054" w:rsidRPr="00583054" w:rsidRDefault="00583054" w:rsidP="004D288C">
      <w:pPr>
        <w:pStyle w:val="ad"/>
        <w:numPr>
          <w:ilvl w:val="0"/>
          <w:numId w:val="2"/>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t xml:space="preserve">הבקשה </w:t>
      </w:r>
      <w:r w:rsidR="00653449">
        <w:rPr>
          <w:rFonts w:ascii="Arial" w:hAnsi="Arial" w:hint="cs"/>
          <w:b/>
          <w:bCs/>
          <w:noProof w:val="0"/>
          <w:u w:val="single"/>
          <w:rtl/>
        </w:rPr>
        <w:t xml:space="preserve">וההתנגדות </w:t>
      </w:r>
      <w:r>
        <w:rPr>
          <w:rFonts w:ascii="Arial" w:hAnsi="Arial" w:hint="cs"/>
          <w:b/>
          <w:bCs/>
          <w:noProof w:val="0"/>
          <w:u w:val="single"/>
          <w:rtl/>
        </w:rPr>
        <w:t>למתן צו קיום הצוואה</w:t>
      </w:r>
    </w:p>
    <w:p w:rsidR="00D834C5" w:rsidRDefault="00583054" w:rsidP="00B7143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20.3.2023 הועברה לבית משפט זה בקשה למתן צו קיום הצוואה אשר הוגשה על ידי </w:t>
      </w:r>
      <w:r w:rsidR="001A1F3D">
        <w:rPr>
          <w:rFonts w:ascii="Arial" w:hAnsi="Arial" w:hint="cs"/>
          <w:noProof w:val="0"/>
          <w:rtl/>
        </w:rPr>
        <w:t>פלונית</w:t>
      </w:r>
      <w:r>
        <w:rPr>
          <w:rFonts w:ascii="Arial" w:hAnsi="Arial" w:hint="cs"/>
          <w:noProof w:val="0"/>
          <w:rtl/>
        </w:rPr>
        <w:t xml:space="preserve"> ביום 16.2.2023.</w:t>
      </w:r>
    </w:p>
    <w:p w:rsidR="00DD7F85" w:rsidRDefault="008E6285" w:rsidP="00D759C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הקטין</w:t>
      </w:r>
      <w:r w:rsidR="005B3403">
        <w:rPr>
          <w:rFonts w:ascii="Arial" w:hAnsi="Arial" w:hint="cs"/>
          <w:noProof w:val="0"/>
          <w:rtl/>
        </w:rPr>
        <w:t xml:space="preserve"> הגיש התנגדות לצוואה </w:t>
      </w:r>
      <w:r w:rsidR="00516D07">
        <w:rPr>
          <w:rFonts w:ascii="Arial" w:hAnsi="Arial" w:hint="cs"/>
          <w:noProof w:val="0"/>
          <w:rtl/>
        </w:rPr>
        <w:t xml:space="preserve">וטען, כי הצוואה נעשתה תוך ניצול מצבו של המנוח כאשר אחיותיו לקחו חלק נכבד מנכסיו עוד בחייו. נטען, כי הצוואה נערכה כאשר מצבו </w:t>
      </w:r>
      <w:r w:rsidR="00D759CF">
        <w:rPr>
          <w:rFonts w:ascii="Arial" w:hAnsi="Arial" w:hint="cs"/>
          <w:noProof w:val="0"/>
          <w:rtl/>
        </w:rPr>
        <w:t>הקוגניטיב</w:t>
      </w:r>
      <w:r w:rsidR="00D759CF">
        <w:rPr>
          <w:rFonts w:ascii="Arial" w:hAnsi="Arial" w:hint="eastAsia"/>
          <w:noProof w:val="0"/>
          <w:rtl/>
        </w:rPr>
        <w:t>י</w:t>
      </w:r>
      <w:r w:rsidR="00516D07">
        <w:rPr>
          <w:rFonts w:ascii="Arial" w:hAnsi="Arial" w:hint="cs"/>
          <w:noProof w:val="0"/>
          <w:rtl/>
        </w:rPr>
        <w:t xml:space="preserve"> לקוי, ראייתו לקויה ואין לו יכולת לקרוא מסמך. </w:t>
      </w:r>
    </w:p>
    <w:p w:rsidR="00583054" w:rsidRDefault="00DD7F85" w:rsidP="008E6285">
      <w:pPr>
        <w:pStyle w:val="ad"/>
        <w:spacing w:after="120" w:line="360" w:lineRule="auto"/>
        <w:ind w:left="567"/>
        <w:contextualSpacing w:val="0"/>
        <w:jc w:val="both"/>
        <w:rPr>
          <w:rFonts w:ascii="Arial" w:hAnsi="Arial"/>
          <w:noProof w:val="0"/>
        </w:rPr>
      </w:pPr>
      <w:r>
        <w:rPr>
          <w:rFonts w:ascii="Arial" w:hAnsi="Arial" w:hint="cs"/>
          <w:noProof w:val="0"/>
          <w:rtl/>
        </w:rPr>
        <w:t xml:space="preserve">נטען, כי </w:t>
      </w:r>
      <w:r w:rsidR="00D759CF">
        <w:rPr>
          <w:rFonts w:ascii="Arial" w:hAnsi="Arial" w:hint="cs"/>
          <w:noProof w:val="0"/>
          <w:rtl/>
        </w:rPr>
        <w:t xml:space="preserve">לשון הצוואה והדרך בה נערכה מצביעה על היוזמת לעריכתה - </w:t>
      </w:r>
      <w:r w:rsidR="001A1F3D">
        <w:rPr>
          <w:rFonts w:ascii="Arial" w:hAnsi="Arial" w:hint="cs"/>
          <w:noProof w:val="0"/>
          <w:rtl/>
        </w:rPr>
        <w:t>פלונית</w:t>
      </w:r>
      <w:r w:rsidR="00D759CF">
        <w:rPr>
          <w:rFonts w:ascii="Arial" w:hAnsi="Arial" w:hint="cs"/>
          <w:noProof w:val="0"/>
          <w:rtl/>
        </w:rPr>
        <w:t>. עוד טען הבן (</w:t>
      </w:r>
      <w:r w:rsidR="00E65E30">
        <w:rPr>
          <w:rFonts w:ascii="Arial" w:hAnsi="Arial" w:hint="cs"/>
          <w:noProof w:val="0"/>
          <w:rtl/>
        </w:rPr>
        <w:t>במסגרת</w:t>
      </w:r>
      <w:r w:rsidR="00D759CF">
        <w:rPr>
          <w:rFonts w:ascii="Arial" w:hAnsi="Arial" w:hint="cs"/>
          <w:noProof w:val="0"/>
          <w:rtl/>
        </w:rPr>
        <w:t xml:space="preserve"> "כתב תשובה לבקשה"), </w:t>
      </w:r>
      <w:r w:rsidR="008E6285">
        <w:rPr>
          <w:rFonts w:ascii="Arial" w:hAnsi="Arial" w:hint="cs"/>
          <w:noProof w:val="0"/>
          <w:rtl/>
        </w:rPr>
        <w:t>טענת זיוף.</w:t>
      </w:r>
    </w:p>
    <w:p w:rsidR="00E65E30" w:rsidRDefault="00E65E30" w:rsidP="008E628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האחיות טענו, כי ה</w:t>
      </w:r>
      <w:r w:rsidR="008E6285">
        <w:rPr>
          <w:rFonts w:ascii="Arial" w:hAnsi="Arial" w:hint="cs"/>
          <w:noProof w:val="0"/>
          <w:rtl/>
        </w:rPr>
        <w:t>קטי</w:t>
      </w:r>
      <w:r>
        <w:rPr>
          <w:rFonts w:ascii="Arial" w:hAnsi="Arial" w:hint="cs"/>
          <w:noProof w:val="0"/>
          <w:rtl/>
        </w:rPr>
        <w:t xml:space="preserve">ן חסר מעמד להתנגד לבקשה למתן צו קיום צוואה, הוא אינו זכאי לרשת את המנוח ואינו רשאי להתנגד לביטול צו הירושה או מתן צו קיום הצוואה. </w:t>
      </w:r>
      <w:r w:rsidR="008E6285">
        <w:rPr>
          <w:rFonts w:ascii="Arial" w:hAnsi="Arial" w:hint="cs"/>
          <w:noProof w:val="0"/>
          <w:rtl/>
        </w:rPr>
        <w:t>הקטין אינו</w:t>
      </w:r>
      <w:r>
        <w:rPr>
          <w:rFonts w:ascii="Arial" w:hAnsi="Arial" w:hint="cs"/>
          <w:noProof w:val="0"/>
          <w:rtl/>
        </w:rPr>
        <w:t xml:space="preserve"> ילדו הביולוגי של המנוח, הוא לא אומץ ולא ניתן לגבי צו הורות ועל כן הוא אינו נכנס בגדרי היורשים על פי חוק הירושה. </w:t>
      </w:r>
    </w:p>
    <w:p w:rsidR="00E65E30" w:rsidRDefault="008E6285" w:rsidP="00D759C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עוד נטען, כי </w:t>
      </w:r>
      <w:r w:rsidR="00E65E30">
        <w:rPr>
          <w:rFonts w:ascii="Arial" w:hAnsi="Arial" w:hint="cs"/>
          <w:noProof w:val="0"/>
          <w:rtl/>
        </w:rPr>
        <w:t>הרישום במרשם האוכלוסין, עליו מבוסס צו הירושה אינו מהווה ראיה קונסטרוקטיבי</w:t>
      </w:r>
      <w:r w:rsidR="00E65E30">
        <w:rPr>
          <w:rFonts w:ascii="Arial" w:hAnsi="Arial" w:hint="eastAsia"/>
          <w:noProof w:val="0"/>
          <w:rtl/>
        </w:rPr>
        <w:t>ת</w:t>
      </w:r>
      <w:r w:rsidR="00E65E30">
        <w:rPr>
          <w:rFonts w:ascii="Arial" w:hAnsi="Arial" w:hint="cs"/>
          <w:noProof w:val="0"/>
          <w:rtl/>
        </w:rPr>
        <w:t xml:space="preserve"> אלא ראיה לכאורה הניתנת לסתירה. </w:t>
      </w:r>
    </w:p>
    <w:p w:rsidR="00E65E30" w:rsidRDefault="00E65E30" w:rsidP="005D376E">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בהתייחס לטענות העדר הכשירות טענו האחיות, כי המסמכים שהוגשו מתייחסים לתקופה ב</w:t>
      </w:r>
      <w:r w:rsidR="00124FFA">
        <w:rPr>
          <w:rFonts w:ascii="Arial" w:hAnsi="Arial" w:hint="cs"/>
          <w:noProof w:val="0"/>
          <w:rtl/>
        </w:rPr>
        <w:t xml:space="preserve">ה התנהלו הליכים משפטיים ולא היה ספק לגבי הכשירות וטענה כזו לא עלתה. </w:t>
      </w:r>
      <w:r w:rsidR="00DD7F85">
        <w:rPr>
          <w:rFonts w:ascii="Arial" w:hAnsi="Arial" w:hint="cs"/>
          <w:noProof w:val="0"/>
          <w:rtl/>
        </w:rPr>
        <w:t>אשר ל</w:t>
      </w:r>
      <w:r w:rsidR="00124FFA">
        <w:rPr>
          <w:rFonts w:ascii="Arial" w:hAnsi="Arial" w:hint="cs"/>
          <w:noProof w:val="0"/>
          <w:rtl/>
        </w:rPr>
        <w:t xml:space="preserve">אופן ניסוח הצוואה </w:t>
      </w:r>
      <w:r w:rsidR="005D376E">
        <w:rPr>
          <w:rFonts w:ascii="Arial" w:hAnsi="Arial" w:hint="cs"/>
          <w:noProof w:val="0"/>
          <w:rtl/>
        </w:rPr>
        <w:t>-</w:t>
      </w:r>
      <w:r w:rsidR="00B230F2">
        <w:rPr>
          <w:rFonts w:ascii="Arial" w:hAnsi="Arial" w:hint="cs"/>
          <w:noProof w:val="0"/>
          <w:rtl/>
        </w:rPr>
        <w:t xml:space="preserve"> הדבר </w:t>
      </w:r>
      <w:r w:rsidR="00124FFA">
        <w:rPr>
          <w:rFonts w:ascii="Arial" w:hAnsi="Arial" w:hint="cs"/>
          <w:noProof w:val="0"/>
          <w:rtl/>
        </w:rPr>
        <w:t xml:space="preserve">מלמד על ידיעת העדים כי ראייתו של המנוח מוגבלת וכי מגבלת הראיה מעולם לא מנעה ממנו לתפקד. </w:t>
      </w:r>
    </w:p>
    <w:p w:rsidR="00653449" w:rsidRPr="00653449" w:rsidRDefault="00653449" w:rsidP="004D288C">
      <w:pPr>
        <w:pStyle w:val="ad"/>
        <w:numPr>
          <w:ilvl w:val="0"/>
          <w:numId w:val="2"/>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t>סדרי בירור ההליך</w:t>
      </w:r>
    </w:p>
    <w:p w:rsidR="00C4467B" w:rsidRDefault="00653449" w:rsidP="00B230F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בדיון שהתקיים ביום 30.1.2024 הגיעו הצדדים להסכמה דיונית, כי שאלת מעמדו של הקטין כיורש תוכרע כענין מקדמי </w:t>
      </w:r>
      <w:r w:rsidR="00893BBD">
        <w:rPr>
          <w:rFonts w:ascii="Arial" w:hAnsi="Arial" w:hint="cs"/>
          <w:noProof w:val="0"/>
          <w:rtl/>
        </w:rPr>
        <w:t>ובהתאם להכרעה זו, על פי הצורך, תוכרענה שאלות נוספות (עמ' 3, ש' 34 - עמ' 4, ש' 3).</w:t>
      </w:r>
    </w:p>
    <w:p w:rsidR="004D288C" w:rsidRDefault="001D7E01" w:rsidP="00B230F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בהתאם,</w:t>
      </w:r>
      <w:r w:rsidR="004D288C">
        <w:rPr>
          <w:rFonts w:ascii="Arial" w:hAnsi="Arial" w:hint="cs"/>
          <w:noProof w:val="0"/>
          <w:rtl/>
        </w:rPr>
        <w:t xml:space="preserve"> </w:t>
      </w:r>
      <w:r w:rsidR="004D288C" w:rsidRPr="00B230F2">
        <w:rPr>
          <w:rFonts w:ascii="Arial" w:hAnsi="Arial" w:hint="cs"/>
          <w:b/>
          <w:bCs/>
          <w:noProof w:val="0"/>
          <w:rtl/>
        </w:rPr>
        <w:t>בפרק ה'</w:t>
      </w:r>
      <w:r w:rsidR="004D288C">
        <w:rPr>
          <w:rFonts w:ascii="Arial" w:hAnsi="Arial" w:hint="cs"/>
          <w:noProof w:val="0"/>
          <w:rtl/>
        </w:rPr>
        <w:t xml:space="preserve"> להלן אסקור את הוראות חוק הירושה ואת פירוש ההוראות המתייחסות לירושה כדין; </w:t>
      </w:r>
      <w:r w:rsidR="004D288C" w:rsidRPr="00B230F2">
        <w:rPr>
          <w:rFonts w:ascii="Arial" w:hAnsi="Arial" w:hint="cs"/>
          <w:b/>
          <w:bCs/>
          <w:noProof w:val="0"/>
          <w:rtl/>
        </w:rPr>
        <w:t>בפרק</w:t>
      </w:r>
      <w:r w:rsidRPr="00B230F2">
        <w:rPr>
          <w:rFonts w:ascii="Arial" w:hAnsi="Arial" w:hint="cs"/>
          <w:b/>
          <w:bCs/>
          <w:noProof w:val="0"/>
          <w:rtl/>
        </w:rPr>
        <w:t xml:space="preserve"> ו'</w:t>
      </w:r>
      <w:r>
        <w:rPr>
          <w:rFonts w:ascii="Arial" w:hAnsi="Arial" w:hint="cs"/>
          <w:noProof w:val="0"/>
          <w:rtl/>
        </w:rPr>
        <w:t xml:space="preserve"> אבחן את טענת הקטין, כי ניתן להסתמך פסק הדין שחייב את המנוח במזונותיו כדי לקבוע </w:t>
      </w:r>
      <w:r w:rsidR="008E6285">
        <w:rPr>
          <w:rFonts w:ascii="Arial" w:hAnsi="Arial" w:hint="cs"/>
          <w:noProof w:val="0"/>
          <w:rtl/>
        </w:rPr>
        <w:t xml:space="preserve">את </w:t>
      </w:r>
      <w:r>
        <w:rPr>
          <w:rFonts w:ascii="Arial" w:hAnsi="Arial" w:hint="cs"/>
          <w:noProof w:val="0"/>
          <w:rtl/>
        </w:rPr>
        <w:t xml:space="preserve">מעמדו </w:t>
      </w:r>
      <w:r w:rsidR="008E6285">
        <w:rPr>
          <w:rFonts w:ascii="Arial" w:hAnsi="Arial" w:hint="cs"/>
          <w:noProof w:val="0"/>
          <w:rtl/>
        </w:rPr>
        <w:t xml:space="preserve">של המנוח </w:t>
      </w:r>
      <w:r>
        <w:rPr>
          <w:rFonts w:ascii="Arial" w:hAnsi="Arial" w:hint="cs"/>
          <w:noProof w:val="0"/>
          <w:rtl/>
        </w:rPr>
        <w:t xml:space="preserve">כאביו; </w:t>
      </w:r>
      <w:r w:rsidRPr="00B230F2">
        <w:rPr>
          <w:rFonts w:ascii="Arial" w:hAnsi="Arial" w:hint="cs"/>
          <w:b/>
          <w:bCs/>
          <w:noProof w:val="0"/>
          <w:rtl/>
        </w:rPr>
        <w:t>בפרק ז'</w:t>
      </w:r>
      <w:r>
        <w:rPr>
          <w:rFonts w:ascii="Arial" w:hAnsi="Arial" w:hint="cs"/>
          <w:noProof w:val="0"/>
          <w:rtl/>
        </w:rPr>
        <w:t xml:space="preserve"> אבחן את </w:t>
      </w:r>
      <w:r w:rsidR="001A0974">
        <w:rPr>
          <w:rFonts w:ascii="Arial" w:hAnsi="Arial" w:hint="cs"/>
          <w:noProof w:val="0"/>
          <w:rtl/>
        </w:rPr>
        <w:t xml:space="preserve">הטענה, כי ההתחייבות בהתאם להוראות חוזר מנכ"ל משרד הבריאות וחתימה על הסכם </w:t>
      </w:r>
      <w:r>
        <w:rPr>
          <w:rFonts w:ascii="Arial" w:hAnsi="Arial" w:hint="cs"/>
          <w:noProof w:val="0"/>
          <w:rtl/>
        </w:rPr>
        <w:t xml:space="preserve">יוצרת אבהות משפטית; </w:t>
      </w:r>
      <w:r w:rsidRPr="00B230F2">
        <w:rPr>
          <w:rFonts w:ascii="Arial" w:hAnsi="Arial" w:hint="cs"/>
          <w:b/>
          <w:bCs/>
          <w:noProof w:val="0"/>
          <w:rtl/>
        </w:rPr>
        <w:lastRenderedPageBreak/>
        <w:t>בפרק ח'</w:t>
      </w:r>
      <w:r>
        <w:rPr>
          <w:rFonts w:ascii="Arial" w:hAnsi="Arial" w:hint="cs"/>
          <w:noProof w:val="0"/>
          <w:rtl/>
        </w:rPr>
        <w:t xml:space="preserve"> א</w:t>
      </w:r>
      <w:r w:rsidR="00B230F2">
        <w:rPr>
          <w:rFonts w:ascii="Arial" w:hAnsi="Arial" w:hint="cs"/>
          <w:noProof w:val="0"/>
          <w:rtl/>
        </w:rPr>
        <w:t>דרש</w:t>
      </w:r>
      <w:r>
        <w:rPr>
          <w:rFonts w:ascii="Arial" w:hAnsi="Arial" w:hint="cs"/>
          <w:noProof w:val="0"/>
          <w:rtl/>
        </w:rPr>
        <w:t xml:space="preserve"> </w:t>
      </w:r>
      <w:r w:rsidR="00B230F2">
        <w:rPr>
          <w:rFonts w:ascii="Arial" w:hAnsi="Arial" w:hint="cs"/>
          <w:noProof w:val="0"/>
          <w:rtl/>
        </w:rPr>
        <w:t>ל</w:t>
      </w:r>
      <w:r w:rsidR="001A0974">
        <w:rPr>
          <w:rFonts w:ascii="Arial" w:hAnsi="Arial" w:hint="cs"/>
          <w:noProof w:val="0"/>
          <w:rtl/>
        </w:rPr>
        <w:t xml:space="preserve">טענה כי </w:t>
      </w:r>
      <w:r w:rsidR="005D376E">
        <w:rPr>
          <w:rFonts w:ascii="Arial" w:hAnsi="Arial" w:hint="cs"/>
          <w:noProof w:val="0"/>
          <w:rtl/>
        </w:rPr>
        <w:t>נ</w:t>
      </w:r>
      <w:r w:rsidR="003D2759">
        <w:rPr>
          <w:rFonts w:ascii="Arial" w:hAnsi="Arial" w:hint="cs"/>
          <w:noProof w:val="0"/>
          <w:rtl/>
        </w:rPr>
        <w:t xml:space="preserve">יתן להסתמך על נתוני מרשם האוכלוסין כדי לקבוע את מעמדו של המנוח כלפי הקטין </w:t>
      </w:r>
      <w:r w:rsidR="003D2759" w:rsidRPr="003D2759">
        <w:rPr>
          <w:rFonts w:ascii="Arial" w:hAnsi="Arial" w:hint="cs"/>
          <w:b/>
          <w:bCs/>
          <w:noProof w:val="0"/>
          <w:rtl/>
        </w:rPr>
        <w:t>ו</w:t>
      </w:r>
      <w:r w:rsidR="003D2759">
        <w:rPr>
          <w:rFonts w:ascii="Arial" w:hAnsi="Arial" w:hint="cs"/>
          <w:b/>
          <w:bCs/>
          <w:noProof w:val="0"/>
          <w:rtl/>
        </w:rPr>
        <w:t xml:space="preserve">פרק ט' </w:t>
      </w:r>
      <w:r w:rsidR="003D2759">
        <w:rPr>
          <w:rFonts w:ascii="Arial" w:hAnsi="Arial" w:hint="cs"/>
          <w:noProof w:val="0"/>
          <w:rtl/>
        </w:rPr>
        <w:t xml:space="preserve">תבחן הטענה כי </w:t>
      </w:r>
      <w:r w:rsidR="001A0974" w:rsidRPr="003D2759">
        <w:rPr>
          <w:rFonts w:ascii="Arial" w:hAnsi="Arial" w:hint="cs"/>
          <w:noProof w:val="0"/>
          <w:rtl/>
        </w:rPr>
        <w:t>ההתנהגות</w:t>
      </w:r>
      <w:r w:rsidR="001A0974">
        <w:rPr>
          <w:rFonts w:ascii="Arial" w:hAnsi="Arial" w:hint="cs"/>
          <w:noProof w:val="0"/>
          <w:rtl/>
        </w:rPr>
        <w:t xml:space="preserve"> </w:t>
      </w:r>
      <w:r w:rsidR="003D2759">
        <w:rPr>
          <w:rFonts w:ascii="Arial" w:hAnsi="Arial" w:hint="cs"/>
          <w:noProof w:val="0"/>
          <w:rtl/>
        </w:rPr>
        <w:t xml:space="preserve">וההכרה בפועל </w:t>
      </w:r>
      <w:r w:rsidR="001A0974">
        <w:rPr>
          <w:rFonts w:ascii="Arial" w:hAnsi="Arial" w:hint="cs"/>
          <w:noProof w:val="0"/>
          <w:rtl/>
        </w:rPr>
        <w:t xml:space="preserve">יוצרת אבהות. </w:t>
      </w:r>
    </w:p>
    <w:p w:rsidR="00893BBD" w:rsidRDefault="00893BBD" w:rsidP="004D288C">
      <w:pPr>
        <w:pStyle w:val="ad"/>
        <w:numPr>
          <w:ilvl w:val="0"/>
          <w:numId w:val="2"/>
        </w:numPr>
        <w:spacing w:after="120" w:line="360" w:lineRule="auto"/>
        <w:ind w:left="567" w:hanging="567"/>
        <w:jc w:val="both"/>
        <w:rPr>
          <w:rFonts w:ascii="Arial" w:hAnsi="Arial"/>
          <w:b/>
          <w:bCs/>
          <w:noProof w:val="0"/>
          <w:u w:val="single"/>
          <w:rtl/>
        </w:rPr>
      </w:pPr>
      <w:r w:rsidRPr="00893BBD">
        <w:rPr>
          <w:rFonts w:ascii="Arial" w:hAnsi="Arial" w:hint="cs"/>
          <w:b/>
          <w:bCs/>
          <w:noProof w:val="0"/>
          <w:u w:val="single"/>
          <w:rtl/>
        </w:rPr>
        <w:t>הוראות חוק הירושה</w:t>
      </w:r>
      <w:r w:rsidR="00542B97">
        <w:rPr>
          <w:rFonts w:ascii="Arial" w:hAnsi="Arial" w:hint="cs"/>
          <w:b/>
          <w:bCs/>
          <w:noProof w:val="0"/>
          <w:u w:val="single"/>
          <w:rtl/>
        </w:rPr>
        <w:t xml:space="preserve"> </w:t>
      </w:r>
    </w:p>
    <w:p w:rsidR="00D07D69" w:rsidRDefault="00477A1B" w:rsidP="006D01A1">
      <w:pPr>
        <w:pStyle w:val="ad"/>
        <w:numPr>
          <w:ilvl w:val="0"/>
          <w:numId w:val="1"/>
        </w:numPr>
        <w:spacing w:after="120" w:line="360" w:lineRule="auto"/>
        <w:ind w:left="567" w:hanging="567"/>
        <w:contextualSpacing w:val="0"/>
        <w:jc w:val="both"/>
        <w:rPr>
          <w:rFonts w:ascii="Arial" w:hAnsi="Arial"/>
          <w:noProof w:val="0"/>
        </w:rPr>
      </w:pPr>
      <w:r w:rsidRPr="00542B97">
        <w:rPr>
          <w:rFonts w:ascii="Arial" w:hAnsi="Arial" w:hint="cs"/>
          <w:noProof w:val="0"/>
          <w:rtl/>
        </w:rPr>
        <w:t xml:space="preserve">סעיף 10 לחוק הירושה קובע את זהות היורשים על פי דין </w:t>
      </w:r>
      <w:r w:rsidR="004C1E44" w:rsidRPr="00542B97">
        <w:rPr>
          <w:rFonts w:ascii="Arial" w:hAnsi="Arial" w:hint="cs"/>
          <w:noProof w:val="0"/>
          <w:rtl/>
        </w:rPr>
        <w:t xml:space="preserve">ובכלל כך "ילדי המוריש". </w:t>
      </w:r>
    </w:p>
    <w:p w:rsidR="00542B97" w:rsidRPr="00D07D69" w:rsidRDefault="00542B97" w:rsidP="003F1FA1">
      <w:pPr>
        <w:pStyle w:val="ad"/>
        <w:numPr>
          <w:ilvl w:val="0"/>
          <w:numId w:val="1"/>
        </w:numPr>
        <w:spacing w:after="120" w:line="360" w:lineRule="auto"/>
        <w:ind w:left="567" w:hanging="567"/>
        <w:contextualSpacing w:val="0"/>
        <w:jc w:val="both"/>
        <w:rPr>
          <w:rFonts w:ascii="Arial" w:hAnsi="Arial"/>
          <w:noProof w:val="0"/>
          <w:u w:val="single"/>
        </w:rPr>
      </w:pPr>
      <w:r w:rsidRPr="00D07D69">
        <w:rPr>
          <w:rFonts w:ascii="Arial" w:hAnsi="Arial" w:hint="cs"/>
          <w:b/>
          <w:bCs/>
          <w:noProof w:val="0"/>
          <w:u w:val="single"/>
          <w:rtl/>
        </w:rPr>
        <w:t>מה פירוש הוראת חוק זו</w:t>
      </w:r>
      <w:r w:rsidR="003F1FA1">
        <w:rPr>
          <w:rFonts w:ascii="Arial" w:hAnsi="Arial" w:hint="cs"/>
          <w:b/>
          <w:bCs/>
          <w:noProof w:val="0"/>
          <w:u w:val="single"/>
          <w:rtl/>
        </w:rPr>
        <w:t xml:space="preserve"> - </w:t>
      </w:r>
      <w:r w:rsidRPr="00D07D69">
        <w:rPr>
          <w:rFonts w:ascii="Arial" w:hAnsi="Arial" w:hint="cs"/>
          <w:b/>
          <w:bCs/>
          <w:noProof w:val="0"/>
          <w:u w:val="single"/>
          <w:rtl/>
        </w:rPr>
        <w:t>בהתייחסות ל"ילד" למה הכוונה</w:t>
      </w:r>
      <w:r w:rsidRPr="00D07D69">
        <w:rPr>
          <w:rFonts w:ascii="Arial" w:hAnsi="Arial" w:hint="cs"/>
          <w:noProof w:val="0"/>
          <w:u w:val="single"/>
          <w:rtl/>
        </w:rPr>
        <w:t>?</w:t>
      </w:r>
    </w:p>
    <w:p w:rsidR="004C1E44" w:rsidRDefault="004C1E44" w:rsidP="00542B97">
      <w:pPr>
        <w:pStyle w:val="ad"/>
        <w:spacing w:after="120" w:line="360" w:lineRule="auto"/>
        <w:ind w:left="567"/>
        <w:contextualSpacing w:val="0"/>
        <w:jc w:val="both"/>
        <w:rPr>
          <w:rFonts w:ascii="Arial" w:hAnsi="Arial"/>
          <w:noProof w:val="0"/>
        </w:rPr>
      </w:pPr>
      <w:r w:rsidRPr="005241A3">
        <w:rPr>
          <w:rFonts w:ascii="Arial" w:hAnsi="Arial"/>
          <w:noProof w:val="0"/>
          <w:rtl/>
        </w:rPr>
        <w:t xml:space="preserve">הדעה המקובלת היא כי </w:t>
      </w:r>
      <w:r w:rsidR="005241A3" w:rsidRPr="005241A3">
        <w:rPr>
          <w:rFonts w:ascii="Arial" w:hAnsi="Arial" w:hint="cs"/>
          <w:b/>
          <w:bCs/>
          <w:noProof w:val="0"/>
          <w:rtl/>
        </w:rPr>
        <w:t>"</w:t>
      </w:r>
      <w:r w:rsidR="00542B97">
        <w:rPr>
          <w:rFonts w:ascii="Arial" w:hAnsi="Arial" w:hint="cs"/>
          <w:b/>
          <w:bCs/>
          <w:noProof w:val="0"/>
          <w:rtl/>
        </w:rPr>
        <w:t>'</w:t>
      </w:r>
      <w:r w:rsidRPr="005241A3">
        <w:rPr>
          <w:rFonts w:ascii="Arial" w:hAnsi="Arial"/>
          <w:b/>
          <w:bCs/>
          <w:noProof w:val="0"/>
          <w:rtl/>
        </w:rPr>
        <w:t>ילד</w:t>
      </w:r>
      <w:r w:rsidR="00542B97">
        <w:rPr>
          <w:rFonts w:ascii="Arial" w:hAnsi="Arial" w:hint="cs"/>
          <w:b/>
          <w:bCs/>
          <w:noProof w:val="0"/>
          <w:rtl/>
        </w:rPr>
        <w:t>'</w:t>
      </w:r>
      <w:r w:rsidRPr="005241A3">
        <w:rPr>
          <w:rFonts w:ascii="Arial" w:hAnsi="Arial"/>
          <w:b/>
          <w:bCs/>
          <w:noProof w:val="0"/>
          <w:rtl/>
        </w:rPr>
        <w:t xml:space="preserve"> של מוריש פירושו ילד טבעי, יוצא ירכו של המוריש, בנו ה</w:t>
      </w:r>
      <w:r w:rsidR="00542B97">
        <w:rPr>
          <w:rFonts w:ascii="Arial" w:hAnsi="Arial" w:hint="cs"/>
          <w:b/>
          <w:bCs/>
          <w:noProof w:val="0"/>
          <w:rtl/>
        </w:rPr>
        <w:t>'</w:t>
      </w:r>
      <w:r w:rsidRPr="005241A3">
        <w:rPr>
          <w:rFonts w:ascii="Arial" w:hAnsi="Arial"/>
          <w:b/>
          <w:bCs/>
          <w:noProof w:val="0"/>
          <w:rtl/>
        </w:rPr>
        <w:t>ביולוגי</w:t>
      </w:r>
      <w:r w:rsidR="00542B97">
        <w:rPr>
          <w:rFonts w:ascii="Arial" w:hAnsi="Arial" w:hint="cs"/>
          <w:b/>
          <w:bCs/>
          <w:noProof w:val="0"/>
          <w:rtl/>
        </w:rPr>
        <w:t>'</w:t>
      </w:r>
      <w:r w:rsidRPr="005241A3">
        <w:rPr>
          <w:rFonts w:ascii="Arial" w:hAnsi="Arial"/>
          <w:b/>
          <w:bCs/>
          <w:noProof w:val="0"/>
          <w:rtl/>
        </w:rPr>
        <w:t xml:space="preserve"> של המוריש</w:t>
      </w:r>
      <w:r w:rsidR="005241A3">
        <w:rPr>
          <w:rFonts w:ascii="Arial" w:hAnsi="Arial" w:hint="cs"/>
          <w:noProof w:val="0"/>
          <w:rtl/>
        </w:rPr>
        <w:t xml:space="preserve">" וכי </w:t>
      </w:r>
      <w:r w:rsidR="005241A3" w:rsidRPr="005241A3">
        <w:rPr>
          <w:rFonts w:ascii="Arial" w:hAnsi="Arial"/>
          <w:noProof w:val="0"/>
        </w:rPr>
        <w:t>"</w:t>
      </w:r>
      <w:r w:rsidR="00542B97">
        <w:rPr>
          <w:rFonts w:ascii="Arial" w:hAnsi="Arial" w:hint="cs"/>
          <w:b/>
          <w:bCs/>
          <w:noProof w:val="0"/>
          <w:rtl/>
        </w:rPr>
        <w:t xml:space="preserve"> '</w:t>
      </w:r>
      <w:r w:rsidR="005241A3" w:rsidRPr="005241A3">
        <w:rPr>
          <w:rFonts w:ascii="Arial" w:hAnsi="Arial"/>
          <w:b/>
          <w:bCs/>
          <w:noProof w:val="0"/>
          <w:rtl/>
        </w:rPr>
        <w:t>ילד</w:t>
      </w:r>
      <w:r w:rsidR="00542B97">
        <w:rPr>
          <w:rFonts w:ascii="Arial" w:hAnsi="Arial" w:hint="cs"/>
          <w:b/>
          <w:bCs/>
          <w:noProof w:val="0"/>
          <w:rtl/>
        </w:rPr>
        <w:t>'</w:t>
      </w:r>
      <w:r w:rsidR="005241A3" w:rsidRPr="005241A3">
        <w:rPr>
          <w:rFonts w:ascii="Arial" w:hAnsi="Arial"/>
          <w:b/>
          <w:bCs/>
          <w:noProof w:val="0"/>
          <w:rtl/>
        </w:rPr>
        <w:t xml:space="preserve"> הוא ילד טבעי, ו</w:t>
      </w:r>
      <w:r w:rsidR="00542B97">
        <w:rPr>
          <w:rFonts w:ascii="Arial" w:hAnsi="Arial" w:hint="cs"/>
          <w:b/>
          <w:bCs/>
          <w:noProof w:val="0"/>
          <w:rtl/>
        </w:rPr>
        <w:t>'</w:t>
      </w:r>
      <w:r w:rsidR="005241A3" w:rsidRPr="005241A3">
        <w:rPr>
          <w:rFonts w:ascii="Arial" w:hAnsi="Arial"/>
          <w:b/>
          <w:bCs/>
          <w:noProof w:val="0"/>
          <w:rtl/>
        </w:rPr>
        <w:t>הוריו</w:t>
      </w:r>
      <w:r w:rsidR="00542B97">
        <w:rPr>
          <w:rFonts w:ascii="Arial" w:hAnsi="Arial" w:hint="cs"/>
          <w:b/>
          <w:bCs/>
          <w:noProof w:val="0"/>
          <w:rtl/>
        </w:rPr>
        <w:t>'</w:t>
      </w:r>
      <w:r w:rsidR="005241A3" w:rsidRPr="005241A3">
        <w:rPr>
          <w:rFonts w:ascii="Arial" w:hAnsi="Arial"/>
          <w:b/>
          <w:bCs/>
          <w:noProof w:val="0"/>
          <w:rtl/>
        </w:rPr>
        <w:t xml:space="preserve"> הם ההורים הטבעיים של אותו </w:t>
      </w:r>
      <w:r w:rsidR="00542B97">
        <w:rPr>
          <w:rFonts w:ascii="Arial" w:hAnsi="Arial" w:hint="cs"/>
          <w:b/>
          <w:bCs/>
          <w:noProof w:val="0"/>
          <w:rtl/>
        </w:rPr>
        <w:t>'</w:t>
      </w:r>
      <w:r w:rsidR="005241A3" w:rsidRPr="005241A3">
        <w:rPr>
          <w:rFonts w:ascii="Arial" w:hAnsi="Arial"/>
          <w:b/>
          <w:bCs/>
          <w:noProof w:val="0"/>
          <w:rtl/>
        </w:rPr>
        <w:t>ילד</w:t>
      </w:r>
      <w:r w:rsidR="00542B97">
        <w:rPr>
          <w:rFonts w:ascii="Arial" w:hAnsi="Arial" w:hint="cs"/>
          <w:b/>
          <w:bCs/>
          <w:noProof w:val="0"/>
          <w:rtl/>
        </w:rPr>
        <w:t xml:space="preserve">' </w:t>
      </w:r>
      <w:r w:rsidR="00542B97">
        <w:rPr>
          <w:rFonts w:ascii="Arial" w:hAnsi="Arial"/>
          <w:noProof w:val="0"/>
        </w:rPr>
        <w:t>"</w:t>
      </w:r>
      <w:r w:rsidR="005241A3" w:rsidRPr="005241A3">
        <w:rPr>
          <w:rFonts w:ascii="Arial" w:hAnsi="Arial" w:hint="cs"/>
          <w:noProof w:val="0"/>
          <w:rtl/>
        </w:rPr>
        <w:t xml:space="preserve"> (</w:t>
      </w:r>
      <w:r w:rsidR="005241A3" w:rsidRPr="005241A3">
        <w:rPr>
          <w:rFonts w:ascii="Arial" w:hAnsi="Arial"/>
          <w:noProof w:val="0"/>
          <w:rtl/>
        </w:rPr>
        <w:t>ע</w:t>
      </w:r>
      <w:r w:rsidR="005241A3">
        <w:rPr>
          <w:rFonts w:ascii="Arial" w:hAnsi="Arial" w:hint="cs"/>
          <w:noProof w:val="0"/>
          <w:rtl/>
        </w:rPr>
        <w:t>"</w:t>
      </w:r>
      <w:r w:rsidR="005241A3" w:rsidRPr="005241A3">
        <w:rPr>
          <w:rFonts w:ascii="Arial" w:hAnsi="Arial"/>
          <w:noProof w:val="0"/>
          <w:rtl/>
        </w:rPr>
        <w:t xml:space="preserve">א 3077/90 </w:t>
      </w:r>
      <w:r w:rsidR="005241A3" w:rsidRPr="005241A3">
        <w:rPr>
          <w:rFonts w:ascii="Arial" w:hAnsi="Arial"/>
          <w:b/>
          <w:bCs/>
          <w:noProof w:val="0"/>
          <w:rtl/>
        </w:rPr>
        <w:t>פלונית נ' פלוני</w:t>
      </w:r>
      <w:r w:rsidR="005241A3" w:rsidRPr="005241A3">
        <w:rPr>
          <w:rFonts w:ascii="Arial" w:hAnsi="Arial"/>
          <w:noProof w:val="0"/>
          <w:rtl/>
        </w:rPr>
        <w:t>, פ''ד מט(2) 578</w:t>
      </w:r>
      <w:r w:rsidR="005241A3" w:rsidRPr="005241A3">
        <w:rPr>
          <w:rFonts w:ascii="Arial" w:hAnsi="Arial" w:hint="cs"/>
          <w:noProof w:val="0"/>
          <w:rtl/>
        </w:rPr>
        <w:t>)</w:t>
      </w:r>
      <w:r w:rsidR="005241A3">
        <w:rPr>
          <w:rFonts w:ascii="Arial" w:hAnsi="Arial" w:hint="cs"/>
          <w:noProof w:val="0"/>
          <w:rtl/>
        </w:rPr>
        <w:t>.</w:t>
      </w:r>
    </w:p>
    <w:p w:rsidR="00B63D93" w:rsidRDefault="0060580E" w:rsidP="00B63D93">
      <w:pPr>
        <w:pStyle w:val="ad"/>
        <w:spacing w:after="120" w:line="360" w:lineRule="auto"/>
        <w:ind w:left="567"/>
        <w:contextualSpacing w:val="0"/>
        <w:jc w:val="both"/>
        <w:rPr>
          <w:rFonts w:ascii="Arial" w:hAnsi="Arial"/>
          <w:noProof w:val="0"/>
          <w:rtl/>
        </w:rPr>
      </w:pPr>
      <w:r>
        <w:rPr>
          <w:rFonts w:ascii="Arial" w:hAnsi="Arial" w:hint="cs"/>
          <w:noProof w:val="0"/>
          <w:rtl/>
        </w:rPr>
        <w:t>ש' שילה,</w:t>
      </w:r>
      <w:r w:rsidRPr="0060580E">
        <w:rPr>
          <w:rFonts w:ascii="Arial" w:hAnsi="Arial"/>
          <w:noProof w:val="0"/>
          <w:rtl/>
        </w:rPr>
        <w:t xml:space="preserve"> </w:t>
      </w:r>
      <w:r w:rsidRPr="00B63D93">
        <w:rPr>
          <w:rFonts w:ascii="Arial" w:hAnsi="Arial"/>
          <w:b/>
          <w:bCs/>
          <w:noProof w:val="0"/>
          <w:rtl/>
        </w:rPr>
        <w:t>פירוש לחוק הירושה</w:t>
      </w:r>
      <w:r w:rsidRPr="0060580E">
        <w:rPr>
          <w:rFonts w:ascii="Arial" w:hAnsi="Arial"/>
          <w:noProof w:val="0"/>
          <w:rtl/>
        </w:rPr>
        <w:t>,</w:t>
      </w:r>
      <w:r w:rsidR="00B63D93">
        <w:rPr>
          <w:rFonts w:ascii="Arial" w:hAnsi="Arial" w:hint="cs"/>
          <w:noProof w:val="0"/>
          <w:rtl/>
        </w:rPr>
        <w:t xml:space="preserve"> </w:t>
      </w:r>
      <w:r w:rsidR="00B63D93" w:rsidRPr="00B63D93">
        <w:rPr>
          <w:rFonts w:ascii="Arial" w:hAnsi="Arial" w:hint="cs"/>
          <w:b/>
          <w:bCs/>
          <w:noProof w:val="0"/>
          <w:rtl/>
        </w:rPr>
        <w:t>תשכ"ה-1965</w:t>
      </w:r>
      <w:r w:rsidRPr="0060580E">
        <w:rPr>
          <w:rFonts w:ascii="Arial" w:hAnsi="Arial"/>
          <w:noProof w:val="0"/>
          <w:rtl/>
        </w:rPr>
        <w:t xml:space="preserve"> </w:t>
      </w:r>
      <w:r w:rsidR="00B63D93">
        <w:rPr>
          <w:rFonts w:ascii="Arial" w:hAnsi="Arial" w:hint="cs"/>
          <w:noProof w:val="0"/>
          <w:rtl/>
        </w:rPr>
        <w:t xml:space="preserve"> </w:t>
      </w:r>
      <w:r w:rsidR="000068A1">
        <w:rPr>
          <w:rFonts w:ascii="Arial" w:hAnsi="Arial" w:hint="cs"/>
          <w:noProof w:val="0"/>
          <w:rtl/>
        </w:rPr>
        <w:t>(</w:t>
      </w:r>
      <w:r w:rsidR="000068A1">
        <w:rPr>
          <w:rFonts w:ascii="Arial" w:hAnsi="Arial" w:hint="cs"/>
          <w:b/>
          <w:bCs/>
          <w:noProof w:val="0"/>
          <w:rtl/>
        </w:rPr>
        <w:t>"ש. שילה"</w:t>
      </w:r>
      <w:r w:rsidR="000068A1">
        <w:rPr>
          <w:rFonts w:ascii="Arial" w:hAnsi="Arial" w:hint="cs"/>
          <w:noProof w:val="0"/>
          <w:rtl/>
        </w:rPr>
        <w:t xml:space="preserve">) </w:t>
      </w:r>
      <w:r w:rsidR="00B63D93">
        <w:rPr>
          <w:rFonts w:ascii="Arial" w:hAnsi="Arial" w:hint="cs"/>
          <w:noProof w:val="0"/>
          <w:rtl/>
        </w:rPr>
        <w:t xml:space="preserve">עמ' 121-119 </w:t>
      </w:r>
      <w:r>
        <w:rPr>
          <w:rFonts w:ascii="Arial" w:hAnsi="Arial" w:hint="cs"/>
          <w:noProof w:val="0"/>
          <w:rtl/>
        </w:rPr>
        <w:t>מתייחס להוראות סעיף 10 האמור ומסביר, כ</w:t>
      </w:r>
      <w:r w:rsidR="00B63D93">
        <w:rPr>
          <w:rFonts w:ascii="Arial" w:hAnsi="Arial" w:hint="cs"/>
          <w:noProof w:val="0"/>
          <w:rtl/>
        </w:rPr>
        <w:t>ך:</w:t>
      </w:r>
    </w:p>
    <w:p w:rsidR="0060580E" w:rsidRPr="00B63D93" w:rsidRDefault="0060580E" w:rsidP="00B63D93">
      <w:pPr>
        <w:pStyle w:val="ad"/>
        <w:spacing w:after="120" w:line="360" w:lineRule="auto"/>
        <w:ind w:left="1134" w:right="567"/>
        <w:contextualSpacing w:val="0"/>
        <w:jc w:val="both"/>
        <w:rPr>
          <w:rFonts w:ascii="Arial" w:hAnsi="Arial"/>
          <w:b/>
          <w:bCs/>
          <w:noProof w:val="0"/>
          <w:rtl/>
        </w:rPr>
      </w:pPr>
      <w:r w:rsidRPr="00B63D93">
        <w:rPr>
          <w:rFonts w:ascii="Arial" w:hAnsi="Arial" w:hint="cs"/>
          <w:b/>
          <w:bCs/>
          <w:noProof w:val="0"/>
          <w:rtl/>
        </w:rPr>
        <w:t xml:space="preserve">"כשמדובר בקרובים: בני משפחה, הורים וצאצאיהם וכדומה, ברור כי הכוונה היא </w:t>
      </w:r>
      <w:r w:rsidRPr="008E6285">
        <w:rPr>
          <w:rFonts w:ascii="Arial" w:hAnsi="Arial" w:hint="cs"/>
          <w:b/>
          <w:bCs/>
          <w:noProof w:val="0"/>
          <w:u w:val="single"/>
          <w:rtl/>
        </w:rPr>
        <w:t>לקרובים ביולוגיים</w:t>
      </w:r>
      <w:r w:rsidRPr="00B63D93">
        <w:rPr>
          <w:rFonts w:ascii="Arial" w:hAnsi="Arial" w:hint="cs"/>
          <w:b/>
          <w:bCs/>
          <w:noProof w:val="0"/>
          <w:rtl/>
        </w:rPr>
        <w:t>... לכ</w:t>
      </w:r>
      <w:r w:rsidR="00B63D93" w:rsidRPr="00B63D93">
        <w:rPr>
          <w:rFonts w:ascii="Arial" w:hAnsi="Arial" w:hint="cs"/>
          <w:b/>
          <w:bCs/>
          <w:noProof w:val="0"/>
          <w:rtl/>
        </w:rPr>
        <w:t>א</w:t>
      </w:r>
      <w:r w:rsidRPr="00B63D93">
        <w:rPr>
          <w:rFonts w:ascii="Arial" w:hAnsi="Arial" w:hint="cs"/>
          <w:b/>
          <w:bCs/>
          <w:noProof w:val="0"/>
          <w:rtl/>
        </w:rPr>
        <w:t xml:space="preserve">ורה, מתייחס לסעיף 10 </w:t>
      </w:r>
      <w:r w:rsidRPr="008E6285">
        <w:rPr>
          <w:rFonts w:ascii="Arial" w:hAnsi="Arial" w:hint="cs"/>
          <w:b/>
          <w:bCs/>
          <w:noProof w:val="0"/>
          <w:u w:val="single"/>
          <w:rtl/>
        </w:rPr>
        <w:t>לקרובים טבעיים</w:t>
      </w:r>
      <w:r w:rsidR="00B63D93" w:rsidRPr="00B63D93">
        <w:rPr>
          <w:rFonts w:ascii="Arial" w:hAnsi="Arial" w:hint="cs"/>
          <w:b/>
          <w:bCs/>
          <w:noProof w:val="0"/>
          <w:rtl/>
        </w:rPr>
        <w:t>...</w:t>
      </w:r>
    </w:p>
    <w:p w:rsidR="00B63D93" w:rsidRPr="00B63D93" w:rsidRDefault="00B63D93" w:rsidP="00B63D93">
      <w:pPr>
        <w:pStyle w:val="ad"/>
        <w:spacing w:after="120" w:line="360" w:lineRule="auto"/>
        <w:ind w:left="1134" w:right="567"/>
        <w:contextualSpacing w:val="0"/>
        <w:jc w:val="both"/>
        <w:rPr>
          <w:rFonts w:ascii="Arial" w:hAnsi="Arial"/>
          <w:b/>
          <w:bCs/>
          <w:noProof w:val="0"/>
          <w:rtl/>
        </w:rPr>
      </w:pPr>
      <w:r w:rsidRPr="00B63D93">
        <w:rPr>
          <w:rFonts w:ascii="Arial" w:hAnsi="Arial" w:hint="cs"/>
          <w:b/>
          <w:bCs/>
          <w:noProof w:val="0"/>
          <w:rtl/>
        </w:rPr>
        <w:t>המחוקק הישראלי מקפיד הרבה יותר ממחוקקים אחרים להכיר בקשר הביולוגי הטבעי בין בני אדם לענייני ירושה ולכן יש מקום לפרש את החוק הנדון בענין הורשה באותה רוח... ומה שקובע את הקשר בין הורה לבין הוא הקשר הטבעי בלבד.</w:t>
      </w:r>
      <w:r w:rsidR="00B230F2">
        <w:rPr>
          <w:rFonts w:ascii="Arial" w:hAnsi="Arial" w:hint="cs"/>
          <w:b/>
          <w:bCs/>
          <w:noProof w:val="0"/>
          <w:rtl/>
        </w:rPr>
        <w:t>..</w:t>
      </w:r>
    </w:p>
    <w:p w:rsidR="00B63D93" w:rsidRDefault="00B63D93" w:rsidP="00B63D93">
      <w:pPr>
        <w:pStyle w:val="ad"/>
        <w:spacing w:after="120" w:line="360" w:lineRule="auto"/>
        <w:ind w:left="1134" w:right="567"/>
        <w:contextualSpacing w:val="0"/>
        <w:jc w:val="both"/>
        <w:rPr>
          <w:rFonts w:ascii="Arial" w:hAnsi="Arial"/>
          <w:noProof w:val="0"/>
          <w:rtl/>
        </w:rPr>
      </w:pPr>
      <w:r w:rsidRPr="00B63D93">
        <w:rPr>
          <w:rFonts w:ascii="Arial" w:hAnsi="Arial" w:hint="cs"/>
          <w:b/>
          <w:bCs/>
          <w:noProof w:val="0"/>
          <w:rtl/>
        </w:rPr>
        <w:t xml:space="preserve">נדמה, שכל עוד המחוקק איננו מורה אחרת, </w:t>
      </w:r>
      <w:r>
        <w:rPr>
          <w:rFonts w:ascii="Arial" w:hAnsi="Arial" w:hint="cs"/>
          <w:b/>
          <w:bCs/>
          <w:noProof w:val="0"/>
          <w:rtl/>
        </w:rPr>
        <w:t>י</w:t>
      </w:r>
      <w:r w:rsidRPr="00B63D93">
        <w:rPr>
          <w:rFonts w:ascii="Arial" w:hAnsi="Arial" w:hint="cs"/>
          <w:b/>
          <w:bCs/>
          <w:noProof w:val="0"/>
          <w:rtl/>
        </w:rPr>
        <w:t>ש</w:t>
      </w:r>
      <w:r>
        <w:rPr>
          <w:rFonts w:ascii="Arial" w:hAnsi="Arial" w:hint="cs"/>
          <w:b/>
          <w:bCs/>
          <w:noProof w:val="0"/>
          <w:rtl/>
        </w:rPr>
        <w:t xml:space="preserve"> לפרש את דברי</w:t>
      </w:r>
      <w:r w:rsidRPr="00B63D93">
        <w:rPr>
          <w:rFonts w:ascii="Arial" w:hAnsi="Arial" w:hint="cs"/>
          <w:b/>
          <w:bCs/>
          <w:noProof w:val="0"/>
          <w:rtl/>
        </w:rPr>
        <w:t>ו כפשו</w:t>
      </w:r>
      <w:r>
        <w:rPr>
          <w:rFonts w:ascii="Arial" w:hAnsi="Arial" w:hint="cs"/>
          <w:b/>
          <w:bCs/>
          <w:noProof w:val="0"/>
          <w:rtl/>
        </w:rPr>
        <w:t>טם</w:t>
      </w:r>
      <w:r w:rsidRPr="00B63D93">
        <w:rPr>
          <w:rFonts w:ascii="Arial" w:hAnsi="Arial" w:hint="cs"/>
          <w:b/>
          <w:bCs/>
          <w:noProof w:val="0"/>
          <w:rtl/>
        </w:rPr>
        <w:t xml:space="preserve"> </w:t>
      </w:r>
      <w:r>
        <w:rPr>
          <w:rFonts w:ascii="Arial" w:hAnsi="Arial" w:hint="cs"/>
          <w:b/>
          <w:bCs/>
          <w:noProof w:val="0"/>
          <w:rtl/>
        </w:rPr>
        <w:t>ומובנ</w:t>
      </w:r>
      <w:r w:rsidRPr="00B63D93">
        <w:rPr>
          <w:rFonts w:ascii="Arial" w:hAnsi="Arial" w:hint="cs"/>
          <w:b/>
          <w:bCs/>
          <w:noProof w:val="0"/>
          <w:rtl/>
        </w:rPr>
        <w:t>ם של המילים ילד, צאצא, הורה וקרוב הנמצאים בסעיף 10 בחוק הינם ילדי, צאצאים הורים וקרובים טבעיים-ביולוגיים"</w:t>
      </w:r>
      <w:r>
        <w:rPr>
          <w:rFonts w:ascii="Arial" w:hAnsi="Arial" w:hint="cs"/>
          <w:noProof w:val="0"/>
          <w:rtl/>
        </w:rPr>
        <w:t>.</w:t>
      </w:r>
    </w:p>
    <w:p w:rsidR="002153AE" w:rsidRPr="002153AE" w:rsidRDefault="002153AE" w:rsidP="00B230F2">
      <w:pPr>
        <w:pStyle w:val="ad"/>
        <w:spacing w:after="120" w:line="360" w:lineRule="auto"/>
        <w:ind w:left="567"/>
        <w:contextualSpacing w:val="0"/>
        <w:jc w:val="both"/>
        <w:rPr>
          <w:rFonts w:ascii="Arial" w:hAnsi="Arial"/>
          <w:b/>
          <w:bCs/>
          <w:noProof w:val="0"/>
        </w:rPr>
      </w:pPr>
      <w:r>
        <w:rPr>
          <w:rFonts w:ascii="Arial" w:hAnsi="Arial" w:hint="cs"/>
          <w:noProof w:val="0"/>
          <w:rtl/>
        </w:rPr>
        <w:t xml:space="preserve">י. מרגלית, </w:t>
      </w:r>
      <w:r w:rsidR="00B230F2">
        <w:rPr>
          <w:rFonts w:ascii="Arial" w:hAnsi="Arial" w:hint="cs"/>
          <w:noProof w:val="0"/>
          <w:rtl/>
        </w:rPr>
        <w:t>במאמרו "</w:t>
      </w:r>
      <w:r>
        <w:rPr>
          <w:rFonts w:ascii="Arial" w:hAnsi="Arial" w:hint="cs"/>
          <w:b/>
          <w:bCs/>
          <w:noProof w:val="0"/>
          <w:rtl/>
        </w:rPr>
        <w:t>על "המשפחות החדשות", על צוואות וירושות ועל מה שביניהן"</w:t>
      </w:r>
      <w:r>
        <w:rPr>
          <w:rFonts w:ascii="Arial" w:hAnsi="Arial" w:hint="cs"/>
          <w:noProof w:val="0"/>
          <w:rtl/>
        </w:rPr>
        <w:t xml:space="preserve"> משפט ועסקים כז, תשפ"ג (ינואר 2023) (</w:t>
      </w:r>
      <w:r>
        <w:rPr>
          <w:rFonts w:ascii="Arial" w:hAnsi="Arial" w:hint="cs"/>
          <w:b/>
          <w:bCs/>
          <w:noProof w:val="0"/>
          <w:rtl/>
        </w:rPr>
        <w:t>"י. מרגלית"</w:t>
      </w:r>
      <w:r>
        <w:rPr>
          <w:rFonts w:ascii="Arial" w:hAnsi="Arial" w:hint="cs"/>
          <w:noProof w:val="0"/>
          <w:rtl/>
        </w:rPr>
        <w:t>) (עמ' 20) מסביר, כי בחוק הירושה נקבע מפורשות כי ילד ביולוגי הוא יורש חוקי, שכן קשר הדם הוא הקובע את זכות הירושה</w:t>
      </w:r>
      <w:r w:rsidRPr="002153AE">
        <w:rPr>
          <w:rFonts w:ascii="Arial" w:hAnsi="Arial" w:hint="cs"/>
          <w:noProof w:val="0"/>
          <w:rtl/>
        </w:rPr>
        <w:t>.</w:t>
      </w:r>
    </w:p>
    <w:p w:rsidR="00B230F2" w:rsidRDefault="000068A1" w:rsidP="00B230F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w:t>
      </w:r>
      <w:r w:rsidRPr="000068A1">
        <w:rPr>
          <w:rFonts w:ascii="Arial" w:hAnsi="Arial"/>
          <w:noProof w:val="0"/>
          <w:rtl/>
        </w:rPr>
        <w:t>בע</w:t>
      </w:r>
      <w:r>
        <w:rPr>
          <w:rFonts w:ascii="Arial" w:hAnsi="Arial" w:hint="cs"/>
          <w:noProof w:val="0"/>
          <w:rtl/>
        </w:rPr>
        <w:t>"</w:t>
      </w:r>
      <w:r>
        <w:rPr>
          <w:rFonts w:ascii="Arial" w:hAnsi="Arial"/>
          <w:noProof w:val="0"/>
          <w:rtl/>
        </w:rPr>
        <w:t xml:space="preserve">מ 4181/22 ‏ </w:t>
      </w:r>
      <w:r w:rsidRPr="000068A1">
        <w:rPr>
          <w:rFonts w:ascii="Arial" w:hAnsi="Arial"/>
          <w:b/>
          <w:bCs/>
          <w:noProof w:val="0"/>
          <w:rtl/>
        </w:rPr>
        <w:t>פלוני נ' פלונית</w:t>
      </w:r>
      <w:r>
        <w:rPr>
          <w:rFonts w:ascii="Arial" w:hAnsi="Arial" w:hint="cs"/>
          <w:noProof w:val="0"/>
          <w:rtl/>
        </w:rPr>
        <w:t xml:space="preserve"> </w:t>
      </w:r>
      <w:r w:rsidR="00E46F7E">
        <w:rPr>
          <w:rFonts w:ascii="Arial" w:hAnsi="Arial" w:hint="cs"/>
          <w:noProof w:val="0"/>
          <w:rtl/>
        </w:rPr>
        <w:t xml:space="preserve">(19.5.2024) </w:t>
      </w:r>
      <w:r>
        <w:rPr>
          <w:rFonts w:ascii="Arial" w:hAnsi="Arial" w:hint="cs"/>
          <w:noProof w:val="0"/>
          <w:rtl/>
        </w:rPr>
        <w:t>נדרש בית המשפט העליון לסוגיה של הכרה בעילת תביעה אזרחית בגין "הונאת אבהות", אחד השיקולים להכרה בחובה משפטית האוסרת הונאת בן זוג ביחס לאבהות נוגעת</w:t>
      </w:r>
      <w:r w:rsidR="00B230F2">
        <w:rPr>
          <w:rFonts w:ascii="Arial" w:hAnsi="Arial" w:hint="cs"/>
          <w:noProof w:val="0"/>
          <w:rtl/>
        </w:rPr>
        <w:t>,</w:t>
      </w:r>
      <w:r w:rsidR="00E46F7E">
        <w:rPr>
          <w:rFonts w:ascii="Arial" w:hAnsi="Arial" w:hint="cs"/>
          <w:noProof w:val="0"/>
          <w:rtl/>
        </w:rPr>
        <w:t xml:space="preserve"> בין הי</w:t>
      </w:r>
      <w:r w:rsidR="002153AE">
        <w:rPr>
          <w:rFonts w:ascii="Arial" w:hAnsi="Arial" w:hint="cs"/>
          <w:noProof w:val="0"/>
          <w:rtl/>
        </w:rPr>
        <w:t xml:space="preserve">תר, </w:t>
      </w:r>
      <w:r w:rsidR="00B230F2">
        <w:rPr>
          <w:rFonts w:ascii="Arial" w:hAnsi="Arial" w:hint="cs"/>
          <w:noProof w:val="0"/>
          <w:rtl/>
        </w:rPr>
        <w:t xml:space="preserve">לזכות הילד </w:t>
      </w:r>
      <w:r w:rsidR="002153AE">
        <w:rPr>
          <w:rFonts w:ascii="Arial" w:hAnsi="Arial" w:hint="cs"/>
          <w:noProof w:val="0"/>
          <w:rtl/>
        </w:rPr>
        <w:t>למימוש אינטרסים חומריים וברא</w:t>
      </w:r>
      <w:r w:rsidR="00E46F7E">
        <w:rPr>
          <w:rFonts w:ascii="Arial" w:hAnsi="Arial" w:hint="cs"/>
          <w:noProof w:val="0"/>
          <w:rtl/>
        </w:rPr>
        <w:t xml:space="preserve">שם </w:t>
      </w:r>
      <w:r w:rsidR="00E46F7E" w:rsidRPr="00B230F2">
        <w:rPr>
          <w:rFonts w:ascii="Arial" w:hAnsi="Arial" w:hint="cs"/>
          <w:noProof w:val="0"/>
          <w:rtl/>
        </w:rPr>
        <w:t xml:space="preserve">הזכות לרשת את </w:t>
      </w:r>
      <w:r w:rsidR="00E46F7E" w:rsidRPr="00B230F2">
        <w:rPr>
          <w:rFonts w:ascii="Arial" w:hAnsi="Arial" w:hint="cs"/>
          <w:noProof w:val="0"/>
          <w:u w:val="single"/>
          <w:rtl/>
        </w:rPr>
        <w:t>קרוביו הביולוגיים</w:t>
      </w:r>
      <w:r w:rsidR="00B230F2" w:rsidRPr="00B230F2">
        <w:rPr>
          <w:rFonts w:ascii="Arial" w:hAnsi="Arial" w:hint="cs"/>
          <w:noProof w:val="0"/>
          <w:rtl/>
        </w:rPr>
        <w:t>.</w:t>
      </w:r>
      <w:r w:rsidR="00E46F7E">
        <w:rPr>
          <w:rFonts w:ascii="Arial" w:hAnsi="Arial" w:hint="cs"/>
          <w:noProof w:val="0"/>
          <w:rtl/>
        </w:rPr>
        <w:t xml:space="preserve"> </w:t>
      </w:r>
    </w:p>
    <w:p w:rsidR="000068A1" w:rsidRPr="0044714F" w:rsidRDefault="00E46F7E" w:rsidP="00B230F2">
      <w:pPr>
        <w:pStyle w:val="ad"/>
        <w:spacing w:after="120" w:line="360" w:lineRule="auto"/>
        <w:ind w:left="567"/>
        <w:contextualSpacing w:val="0"/>
        <w:jc w:val="both"/>
        <w:rPr>
          <w:rFonts w:ascii="Arial" w:hAnsi="Arial"/>
          <w:noProof w:val="0"/>
          <w:rtl/>
        </w:rPr>
      </w:pPr>
      <w:r>
        <w:rPr>
          <w:rFonts w:ascii="Arial" w:hAnsi="Arial" w:hint="cs"/>
          <w:noProof w:val="0"/>
          <w:rtl/>
        </w:rPr>
        <w:t xml:space="preserve">(ראו גם בע"מ 5082/05 </w:t>
      </w:r>
      <w:r>
        <w:rPr>
          <w:rFonts w:ascii="Arial" w:hAnsi="Arial" w:hint="cs"/>
          <w:b/>
          <w:bCs/>
          <w:noProof w:val="0"/>
          <w:rtl/>
        </w:rPr>
        <w:t xml:space="preserve">היועץ המשפטי לממשלה נ' פלוני </w:t>
      </w:r>
      <w:r>
        <w:rPr>
          <w:rFonts w:ascii="Arial" w:hAnsi="Arial" w:hint="cs"/>
          <w:noProof w:val="0"/>
          <w:rtl/>
        </w:rPr>
        <w:t>(26.10.2005) בסעיף 11</w:t>
      </w:r>
      <w:r w:rsidR="0044714F">
        <w:rPr>
          <w:rFonts w:ascii="Arial" w:hAnsi="Arial" w:hint="cs"/>
          <w:noProof w:val="0"/>
          <w:rtl/>
        </w:rPr>
        <w:t xml:space="preserve">; </w:t>
      </w:r>
      <w:r w:rsidR="00D07D69">
        <w:rPr>
          <w:rFonts w:ascii="Arial" w:hAnsi="Arial" w:hint="cs"/>
          <w:noProof w:val="0"/>
          <w:rtl/>
        </w:rPr>
        <w:t xml:space="preserve">ר. זפרן, </w:t>
      </w:r>
      <w:r w:rsidR="00D07D69">
        <w:rPr>
          <w:rFonts w:ascii="Arial" w:hAnsi="Arial" w:hint="cs"/>
          <w:b/>
          <w:bCs/>
          <w:noProof w:val="0"/>
          <w:rtl/>
        </w:rPr>
        <w:t xml:space="preserve">"של מי אתה ילד? על פגמי של ההסדר הקיים בדין הישראלי בשאלת קביעת האבהות", </w:t>
      </w:r>
      <w:r w:rsidR="00D07D69">
        <w:rPr>
          <w:rFonts w:ascii="Arial" w:hAnsi="Arial" w:hint="cs"/>
          <w:noProof w:val="0"/>
          <w:rtl/>
        </w:rPr>
        <w:t>הפרקליט מו' (תשס"ג-תשס"ד)</w:t>
      </w:r>
      <w:r w:rsidR="0044714F">
        <w:rPr>
          <w:rFonts w:ascii="Arial" w:hAnsi="Arial" w:hint="cs"/>
          <w:noProof w:val="0"/>
          <w:rtl/>
        </w:rPr>
        <w:t xml:space="preserve"> 311 וכן </w:t>
      </w:r>
      <w:r w:rsidR="0044714F" w:rsidRPr="005D376E">
        <w:rPr>
          <w:rFonts w:ascii="Arial" w:hAnsi="Arial" w:hint="cs"/>
          <w:b/>
          <w:bCs/>
          <w:noProof w:val="0"/>
          <w:rtl/>
        </w:rPr>
        <w:t>י. מרגלית</w:t>
      </w:r>
      <w:r w:rsidR="000B47AB">
        <w:rPr>
          <w:rFonts w:ascii="Arial" w:hAnsi="Arial" w:hint="cs"/>
          <w:noProof w:val="0"/>
          <w:rtl/>
        </w:rPr>
        <w:t xml:space="preserve"> </w:t>
      </w:r>
      <w:r w:rsidR="0044714F">
        <w:rPr>
          <w:rFonts w:ascii="Arial" w:hAnsi="Arial" w:hint="cs"/>
          <w:noProof w:val="0"/>
          <w:rtl/>
        </w:rPr>
        <w:t>בעמ' 18).</w:t>
      </w:r>
    </w:p>
    <w:p w:rsidR="004C1E44" w:rsidRPr="00D07D69" w:rsidRDefault="00D07D69" w:rsidP="003D2759">
      <w:pPr>
        <w:pStyle w:val="ad"/>
        <w:spacing w:after="120" w:line="360" w:lineRule="auto"/>
        <w:ind w:left="567"/>
        <w:contextualSpacing w:val="0"/>
        <w:jc w:val="both"/>
        <w:rPr>
          <w:rFonts w:ascii="Arial" w:hAnsi="Arial"/>
          <w:noProof w:val="0"/>
          <w:u w:val="single"/>
          <w:rtl/>
        </w:rPr>
      </w:pPr>
      <w:r w:rsidRPr="00D07D69">
        <w:rPr>
          <w:rFonts w:ascii="Arial" w:hAnsi="Arial" w:hint="cs"/>
          <w:noProof w:val="0"/>
          <w:u w:val="single"/>
          <w:rtl/>
        </w:rPr>
        <w:lastRenderedPageBreak/>
        <w:t xml:space="preserve">כלומר, השימוש במילה "ילד" בסעיף 10 לחוק הירושה מתייחסת לילד ביולוגי בלבד. </w:t>
      </w:r>
    </w:p>
    <w:p w:rsidR="002B285C" w:rsidRDefault="002B285C" w:rsidP="002B285C">
      <w:pPr>
        <w:pStyle w:val="ad"/>
        <w:numPr>
          <w:ilvl w:val="0"/>
          <w:numId w:val="1"/>
        </w:numPr>
        <w:spacing w:after="120" w:line="360" w:lineRule="auto"/>
        <w:ind w:left="567" w:hanging="567"/>
        <w:contextualSpacing w:val="0"/>
        <w:jc w:val="both"/>
        <w:rPr>
          <w:rFonts w:ascii="Arial" w:hAnsi="Arial"/>
          <w:noProof w:val="0"/>
        </w:rPr>
      </w:pPr>
      <w:r w:rsidRPr="00AA5905">
        <w:rPr>
          <w:rFonts w:ascii="Arial" w:hAnsi="Arial" w:hint="cs"/>
          <w:noProof w:val="0"/>
          <w:rtl/>
        </w:rPr>
        <w:t xml:space="preserve">א. בלכר-פריגת וד. הקר, </w:t>
      </w:r>
      <w:r>
        <w:rPr>
          <w:rFonts w:ascii="Arial" w:hAnsi="Arial" w:hint="cs"/>
          <w:noProof w:val="0"/>
          <w:rtl/>
        </w:rPr>
        <w:t>במאמר "</w:t>
      </w:r>
      <w:r w:rsidRPr="00AA5905">
        <w:rPr>
          <w:rFonts w:ascii="Arial" w:hAnsi="Arial" w:hint="cs"/>
          <w:b/>
          <w:bCs/>
          <w:noProof w:val="0"/>
          <w:rtl/>
        </w:rPr>
        <w:t>הורים או זרים: מעמדם המשפטי המצוי והרצוי של בני זוג של הורים"</w:t>
      </w:r>
      <w:r>
        <w:rPr>
          <w:rFonts w:ascii="Arial" w:hAnsi="Arial" w:hint="cs"/>
          <w:b/>
          <w:bCs/>
          <w:noProof w:val="0"/>
          <w:rtl/>
        </w:rPr>
        <w:t>,</w:t>
      </w:r>
      <w:r w:rsidRPr="00AA5905">
        <w:rPr>
          <w:rFonts w:ascii="Arial" w:hAnsi="Arial" w:hint="cs"/>
          <w:noProof w:val="0"/>
          <w:rtl/>
        </w:rPr>
        <w:t xml:space="preserve"> משפטים מ (תש"ע)</w:t>
      </w:r>
      <w:r>
        <w:rPr>
          <w:rFonts w:ascii="Arial" w:hAnsi="Arial" w:hint="cs"/>
          <w:noProof w:val="0"/>
          <w:rtl/>
        </w:rPr>
        <w:t xml:space="preserve"> (</w:t>
      </w:r>
      <w:r>
        <w:rPr>
          <w:rFonts w:ascii="Arial" w:hAnsi="Arial" w:hint="cs"/>
          <w:b/>
          <w:bCs/>
          <w:noProof w:val="0"/>
          <w:rtl/>
        </w:rPr>
        <w:t>"בלכר והקר"</w:t>
      </w:r>
      <w:r>
        <w:rPr>
          <w:rFonts w:ascii="Arial" w:hAnsi="Arial" w:hint="cs"/>
          <w:noProof w:val="0"/>
          <w:rtl/>
        </w:rPr>
        <w:t>) מסבירות, כך:</w:t>
      </w:r>
    </w:p>
    <w:p w:rsidR="002B285C" w:rsidRDefault="002B285C" w:rsidP="002B285C">
      <w:pPr>
        <w:pStyle w:val="ad"/>
        <w:spacing w:after="120" w:line="360" w:lineRule="auto"/>
        <w:ind w:left="1134" w:right="567"/>
        <w:contextualSpacing w:val="0"/>
        <w:jc w:val="both"/>
        <w:rPr>
          <w:rFonts w:ascii="Arial" w:hAnsi="Arial"/>
          <w:b/>
          <w:bCs/>
          <w:noProof w:val="0"/>
          <w:rtl/>
        </w:rPr>
      </w:pPr>
      <w:r>
        <w:rPr>
          <w:rFonts w:ascii="Arial" w:hAnsi="Arial" w:hint="cs"/>
          <w:b/>
          <w:bCs/>
          <w:noProof w:val="0"/>
          <w:rtl/>
        </w:rPr>
        <w:t>"חוק הירושה אינו מכיר במעמד של "הורה חורג". שתי הדרכים היחידות שבהן יכולה להיווצר זיקת הורשה בין ילד לבין בן זוג של הורה ביולוגי הן אימוץ פורמלי של הילד על ידי בן הזוג או כתיבת צוואה...</w:t>
      </w:r>
    </w:p>
    <w:p w:rsidR="002B285C" w:rsidRPr="002B285C" w:rsidRDefault="002B285C" w:rsidP="00B230F2">
      <w:pPr>
        <w:pStyle w:val="ad"/>
        <w:spacing w:after="120" w:line="360" w:lineRule="auto"/>
        <w:ind w:left="1134" w:right="567"/>
        <w:contextualSpacing w:val="0"/>
        <w:jc w:val="both"/>
        <w:rPr>
          <w:rFonts w:ascii="Arial" w:hAnsi="Arial"/>
          <w:b/>
          <w:bCs/>
          <w:noProof w:val="0"/>
        </w:rPr>
      </w:pPr>
      <w:r>
        <w:rPr>
          <w:rFonts w:ascii="Arial" w:hAnsi="Arial" w:hint="cs"/>
          <w:b/>
          <w:bCs/>
          <w:noProof w:val="0"/>
          <w:rtl/>
        </w:rPr>
        <w:t xml:space="preserve">בהעדר אימוץ פורמלי בן הזוג אינו "הורה" ולפיכך הילד אינו יכול לרשת אותו והוא אינו יכול לרשת את הילד". </w:t>
      </w:r>
    </w:p>
    <w:p w:rsidR="009C15CF" w:rsidRDefault="00D07D69" w:rsidP="002B285C">
      <w:pPr>
        <w:pStyle w:val="ad"/>
        <w:numPr>
          <w:ilvl w:val="0"/>
          <w:numId w:val="1"/>
        </w:numPr>
        <w:spacing w:after="120" w:line="360" w:lineRule="auto"/>
        <w:ind w:left="567" w:hanging="567"/>
        <w:contextualSpacing w:val="0"/>
        <w:jc w:val="both"/>
        <w:rPr>
          <w:rFonts w:ascii="Arial" w:hAnsi="Arial"/>
          <w:noProof w:val="0"/>
        </w:rPr>
      </w:pPr>
      <w:r w:rsidRPr="0044714F">
        <w:rPr>
          <w:rFonts w:ascii="Arial" w:hAnsi="Arial" w:hint="cs"/>
          <w:b/>
          <w:bCs/>
          <w:noProof w:val="0"/>
          <w:rtl/>
        </w:rPr>
        <w:t>ש. שילה</w:t>
      </w:r>
      <w:r>
        <w:rPr>
          <w:rFonts w:ascii="Arial" w:hAnsi="Arial" w:hint="cs"/>
          <w:noProof w:val="0"/>
          <w:rtl/>
        </w:rPr>
        <w:t xml:space="preserve"> מ</w:t>
      </w:r>
      <w:r w:rsidR="002B285C">
        <w:rPr>
          <w:rFonts w:ascii="Arial" w:hAnsi="Arial" w:hint="cs"/>
          <w:noProof w:val="0"/>
          <w:rtl/>
        </w:rPr>
        <w:t xml:space="preserve">סביר, כי </w:t>
      </w:r>
      <w:r w:rsidR="00656743">
        <w:rPr>
          <w:rFonts w:ascii="Arial" w:hAnsi="Arial" w:hint="cs"/>
          <w:noProof w:val="0"/>
          <w:rtl/>
        </w:rPr>
        <w:t xml:space="preserve">חוק </w:t>
      </w:r>
      <w:r w:rsidR="002B285C">
        <w:rPr>
          <w:rFonts w:ascii="Arial" w:hAnsi="Arial" w:hint="cs"/>
          <w:noProof w:val="0"/>
          <w:rtl/>
        </w:rPr>
        <w:t xml:space="preserve">הירושה </w:t>
      </w:r>
      <w:r w:rsidR="00656743">
        <w:rPr>
          <w:rFonts w:ascii="Arial" w:hAnsi="Arial" w:hint="cs"/>
          <w:noProof w:val="0"/>
          <w:rtl/>
        </w:rPr>
        <w:t>מסדיר רק ענין אחד החורג מקשר טבעי בין יורש ומוריש והוא אימוץ</w:t>
      </w:r>
      <w:r w:rsidR="000B47AB">
        <w:rPr>
          <w:rFonts w:ascii="Arial" w:hAnsi="Arial" w:hint="cs"/>
          <w:noProof w:val="0"/>
          <w:rtl/>
        </w:rPr>
        <w:t xml:space="preserve"> כדין</w:t>
      </w:r>
      <w:r w:rsidR="00656743">
        <w:rPr>
          <w:rFonts w:ascii="Arial" w:hAnsi="Arial" w:hint="cs"/>
          <w:noProof w:val="0"/>
          <w:rtl/>
        </w:rPr>
        <w:t xml:space="preserve"> (עמ' 119); וכי </w:t>
      </w:r>
      <w:r w:rsidR="00656743" w:rsidRPr="003F1F4E">
        <w:rPr>
          <w:rFonts w:ascii="Arial" w:hAnsi="Arial" w:hint="cs"/>
          <w:noProof w:val="0"/>
          <w:u w:val="single"/>
          <w:rtl/>
        </w:rPr>
        <w:t>הוראות חוק הירושה לא נותנות מענה למקרים המתעוררים כתוצאה מהפרייה חוץ גופית</w:t>
      </w:r>
      <w:r w:rsidR="00656743">
        <w:rPr>
          <w:rFonts w:ascii="Arial" w:hAnsi="Arial" w:hint="cs"/>
          <w:noProof w:val="0"/>
          <w:rtl/>
        </w:rPr>
        <w:t xml:space="preserve"> (עמ' 121).</w:t>
      </w:r>
    </w:p>
    <w:p w:rsidR="00D07D69" w:rsidRDefault="00656743" w:rsidP="0065674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 </w:t>
      </w:r>
      <w:r w:rsidR="005358CA">
        <w:rPr>
          <w:rFonts w:ascii="Arial" w:hAnsi="Arial" w:hint="cs"/>
          <w:noProof w:val="0"/>
          <w:rtl/>
        </w:rPr>
        <w:t xml:space="preserve">בדומה, גם </w:t>
      </w:r>
      <w:r w:rsidR="005358CA" w:rsidRPr="00824F3A">
        <w:rPr>
          <w:rFonts w:ascii="Arial" w:hAnsi="Arial" w:hint="cs"/>
          <w:b/>
          <w:bCs/>
          <w:noProof w:val="0"/>
          <w:rtl/>
        </w:rPr>
        <w:t>י. מרגלית</w:t>
      </w:r>
      <w:r w:rsidR="005358CA">
        <w:rPr>
          <w:rFonts w:ascii="Arial" w:hAnsi="Arial" w:hint="cs"/>
          <w:noProof w:val="0"/>
          <w:rtl/>
        </w:rPr>
        <w:t xml:space="preserve"> מסביר, כי בלא עיגון חקיקתי של </w:t>
      </w:r>
      <w:r w:rsidR="000B47AB">
        <w:rPr>
          <w:rFonts w:ascii="Arial" w:hAnsi="Arial" w:hint="cs"/>
          <w:noProof w:val="0"/>
          <w:rtl/>
        </w:rPr>
        <w:t>פרקטיקת</w:t>
      </w:r>
      <w:r w:rsidR="005358CA">
        <w:rPr>
          <w:rFonts w:ascii="Arial" w:hAnsi="Arial" w:hint="cs"/>
          <w:noProof w:val="0"/>
          <w:rtl/>
        </w:rPr>
        <w:t xml:space="preserve"> תרומת הזרע מתורם אנונימי, לא יוכל הילד לרשת את בן זוגה של האישה הנזרעת (עמ' 42 ועמ' 58</w:t>
      </w:r>
      <w:r w:rsidR="007C6F42">
        <w:rPr>
          <w:rFonts w:ascii="Arial" w:hAnsi="Arial" w:hint="cs"/>
          <w:noProof w:val="0"/>
          <w:rtl/>
        </w:rPr>
        <w:t>-59</w:t>
      </w:r>
      <w:r w:rsidR="005358CA">
        <w:rPr>
          <w:rFonts w:ascii="Arial" w:hAnsi="Arial" w:hint="cs"/>
          <w:noProof w:val="0"/>
          <w:rtl/>
        </w:rPr>
        <w:t>).</w:t>
      </w:r>
    </w:p>
    <w:p w:rsidR="002B285C" w:rsidRDefault="003F1F4E" w:rsidP="002B285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א</w:t>
      </w:r>
      <w:r w:rsidR="002B285C">
        <w:rPr>
          <w:rFonts w:ascii="Arial" w:hAnsi="Arial" w:hint="cs"/>
          <w:noProof w:val="0"/>
          <w:rtl/>
        </w:rPr>
        <w:t>סכם ענין זה:</w:t>
      </w:r>
    </w:p>
    <w:p w:rsidR="002B285C" w:rsidRDefault="009650DB" w:rsidP="002B285C">
      <w:pPr>
        <w:pStyle w:val="ad"/>
        <w:spacing w:after="120" w:line="360" w:lineRule="auto"/>
        <w:ind w:left="567"/>
        <w:contextualSpacing w:val="0"/>
        <w:jc w:val="both"/>
        <w:rPr>
          <w:rFonts w:ascii="Arial" w:hAnsi="Arial"/>
          <w:noProof w:val="0"/>
          <w:rtl/>
        </w:rPr>
      </w:pPr>
      <w:r>
        <w:rPr>
          <w:rFonts w:ascii="Arial" w:hAnsi="Arial" w:hint="cs"/>
          <w:noProof w:val="0"/>
          <w:rtl/>
        </w:rPr>
        <w:t xml:space="preserve">הוראות חוק הירושה קובעות ירושה על פי דין לילדו </w:t>
      </w:r>
      <w:r w:rsidRPr="009650DB">
        <w:rPr>
          <w:rFonts w:ascii="Arial" w:hAnsi="Arial" w:hint="cs"/>
          <w:b/>
          <w:bCs/>
          <w:noProof w:val="0"/>
          <w:u w:val="single"/>
          <w:rtl/>
        </w:rPr>
        <w:t xml:space="preserve">הביולוגי </w:t>
      </w:r>
      <w:r>
        <w:rPr>
          <w:rFonts w:ascii="Arial" w:hAnsi="Arial" w:hint="cs"/>
          <w:noProof w:val="0"/>
          <w:rtl/>
        </w:rPr>
        <w:t>של המנוח או לילד שאומץ כדין</w:t>
      </w:r>
      <w:r w:rsidR="002B285C">
        <w:rPr>
          <w:rFonts w:ascii="Arial" w:hAnsi="Arial" w:hint="cs"/>
          <w:noProof w:val="0"/>
          <w:rtl/>
        </w:rPr>
        <w:t>.</w:t>
      </w:r>
      <w:r>
        <w:rPr>
          <w:rFonts w:ascii="Arial" w:hAnsi="Arial" w:hint="cs"/>
          <w:noProof w:val="0"/>
          <w:rtl/>
        </w:rPr>
        <w:t xml:space="preserve"> </w:t>
      </w:r>
    </w:p>
    <w:p w:rsidR="009650DB" w:rsidRDefault="009650DB" w:rsidP="002B285C">
      <w:pPr>
        <w:pStyle w:val="ad"/>
        <w:spacing w:after="120" w:line="360" w:lineRule="auto"/>
        <w:ind w:left="567"/>
        <w:contextualSpacing w:val="0"/>
        <w:jc w:val="both"/>
        <w:rPr>
          <w:rFonts w:ascii="Arial" w:hAnsi="Arial"/>
          <w:noProof w:val="0"/>
        </w:rPr>
      </w:pPr>
      <w:r>
        <w:rPr>
          <w:rFonts w:ascii="Arial" w:hAnsi="Arial" w:hint="cs"/>
          <w:noProof w:val="0"/>
          <w:rtl/>
        </w:rPr>
        <w:t xml:space="preserve">בשלב זה, מעמדו של בן זוג של ההורה בו בוצעה ההזרעה </w:t>
      </w:r>
      <w:r w:rsidR="002B285C">
        <w:rPr>
          <w:rFonts w:ascii="Arial" w:hAnsi="Arial" w:hint="cs"/>
          <w:noProof w:val="0"/>
          <w:rtl/>
        </w:rPr>
        <w:t xml:space="preserve">טרם הוסדר בחקיקה הנוגעת לירושה ואין בפסיקה או בספרות עיגון שמאפשר הרחבה של ההתייחסות למילה "ילד" בסעיף 10 לחוק הירושה ככולל ילד שאינו "צאצא טבעי". </w:t>
      </w:r>
    </w:p>
    <w:p w:rsidR="00B230F2" w:rsidRPr="00B230F2" w:rsidRDefault="00B230F2" w:rsidP="004D288C">
      <w:pPr>
        <w:pStyle w:val="ad"/>
        <w:numPr>
          <w:ilvl w:val="0"/>
          <w:numId w:val="1"/>
        </w:numPr>
        <w:spacing w:after="120" w:line="360" w:lineRule="auto"/>
        <w:ind w:left="567" w:hanging="567"/>
        <w:contextualSpacing w:val="0"/>
        <w:jc w:val="both"/>
        <w:rPr>
          <w:rFonts w:ascii="Arial" w:hAnsi="Arial"/>
          <w:noProof w:val="0"/>
          <w:u w:val="single"/>
        </w:rPr>
      </w:pPr>
      <w:r w:rsidRPr="00B230F2">
        <w:rPr>
          <w:rFonts w:ascii="Arial" w:hAnsi="Arial" w:hint="cs"/>
          <w:b/>
          <w:bCs/>
          <w:noProof w:val="0"/>
          <w:u w:val="single"/>
          <w:rtl/>
        </w:rPr>
        <w:t>טענות הקטין בהתייחס לזכותו לירושה על פי דין</w:t>
      </w:r>
      <w:r w:rsidRPr="00B230F2">
        <w:rPr>
          <w:rFonts w:ascii="Arial" w:hAnsi="Arial" w:hint="cs"/>
          <w:noProof w:val="0"/>
          <w:u w:val="single"/>
          <w:rtl/>
        </w:rPr>
        <w:t>:</w:t>
      </w:r>
    </w:p>
    <w:p w:rsidR="00F126FF" w:rsidRDefault="00B04796" w:rsidP="00B230F2">
      <w:pPr>
        <w:pStyle w:val="ad"/>
        <w:spacing w:after="120" w:line="360" w:lineRule="auto"/>
        <w:ind w:left="567"/>
        <w:contextualSpacing w:val="0"/>
        <w:jc w:val="both"/>
        <w:rPr>
          <w:rFonts w:ascii="Arial" w:hAnsi="Arial"/>
          <w:noProof w:val="0"/>
        </w:rPr>
      </w:pPr>
      <w:r w:rsidRPr="001857AA">
        <w:rPr>
          <w:rFonts w:ascii="Arial" w:hAnsi="Arial" w:hint="cs"/>
          <w:noProof w:val="0"/>
          <w:rtl/>
        </w:rPr>
        <w:t>מעיון בבקשה לביטול צו הירושה, ההתנגדות, התגובה והשלמת הטיעון עולה, כי הקטין מסתמך על מספר טעמים המצדיקים, לטענתו, קביעה כי הוא יורש על פי דין</w:t>
      </w:r>
      <w:r w:rsidR="004D288C">
        <w:rPr>
          <w:rFonts w:ascii="Arial" w:hAnsi="Arial" w:hint="cs"/>
          <w:noProof w:val="0"/>
          <w:rtl/>
        </w:rPr>
        <w:t>:</w:t>
      </w:r>
    </w:p>
    <w:p w:rsidR="00E61A5D" w:rsidRDefault="00F126FF" w:rsidP="00E61A5D">
      <w:pPr>
        <w:pStyle w:val="ad"/>
        <w:spacing w:after="120" w:line="360" w:lineRule="auto"/>
        <w:ind w:left="567"/>
        <w:contextualSpacing w:val="0"/>
        <w:jc w:val="both"/>
        <w:rPr>
          <w:rFonts w:ascii="Arial" w:hAnsi="Arial"/>
          <w:noProof w:val="0"/>
          <w:rtl/>
        </w:rPr>
      </w:pPr>
      <w:r>
        <w:rPr>
          <w:rFonts w:ascii="Arial" w:hAnsi="Arial" w:hint="cs"/>
          <w:noProof w:val="0"/>
          <w:rtl/>
        </w:rPr>
        <w:t xml:space="preserve">הקטין מסתמך על הוראות פסק הדין בענין המזונות, אשר חייב את המנוח במזונות הקטין וקבע את מעמדו כלפי הקטין; הקטין מבקש להסתמך על המרשם לפיו המנוח אביו; הקטין עומד על </w:t>
      </w:r>
      <w:r w:rsidR="00E61A5D">
        <w:rPr>
          <w:rFonts w:ascii="Arial" w:hAnsi="Arial" w:hint="cs"/>
          <w:noProof w:val="0"/>
          <w:rtl/>
        </w:rPr>
        <w:t>הכרה ב</w:t>
      </w:r>
      <w:r>
        <w:rPr>
          <w:rFonts w:ascii="Arial" w:hAnsi="Arial" w:hint="cs"/>
          <w:noProof w:val="0"/>
          <w:rtl/>
        </w:rPr>
        <w:t xml:space="preserve">מנוח כאב </w:t>
      </w:r>
      <w:r w:rsidR="00E61A5D">
        <w:rPr>
          <w:rFonts w:ascii="Arial" w:hAnsi="Arial" w:hint="cs"/>
          <w:noProof w:val="0"/>
          <w:rtl/>
        </w:rPr>
        <w:t xml:space="preserve">בהתאם להתחייבויותיו על פי הנוהל המסדיר הליך תרומת הזרע וההסכם שנכרת בינו ובין האֵם וכן על התנהגותו של המנוח. </w:t>
      </w:r>
    </w:p>
    <w:p w:rsidR="001857AA" w:rsidRDefault="00B04796" w:rsidP="00E61A5D">
      <w:pPr>
        <w:pStyle w:val="ad"/>
        <w:spacing w:after="120" w:line="360" w:lineRule="auto"/>
        <w:ind w:left="567"/>
        <w:contextualSpacing w:val="0"/>
        <w:jc w:val="both"/>
        <w:rPr>
          <w:rFonts w:ascii="Arial" w:hAnsi="Arial"/>
          <w:noProof w:val="0"/>
        </w:rPr>
      </w:pPr>
      <w:r w:rsidRPr="001857AA">
        <w:rPr>
          <w:rFonts w:ascii="Arial" w:hAnsi="Arial" w:hint="cs"/>
          <w:noProof w:val="0"/>
          <w:rtl/>
        </w:rPr>
        <w:t>אסקור את הטענות, אחת לאחת:</w:t>
      </w:r>
    </w:p>
    <w:p w:rsidR="001857AA" w:rsidRPr="001857AA" w:rsidRDefault="004D288C" w:rsidP="001D7E01">
      <w:pPr>
        <w:pStyle w:val="ad"/>
        <w:numPr>
          <w:ilvl w:val="0"/>
          <w:numId w:val="2"/>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t xml:space="preserve">האם ניתן להסתמך על </w:t>
      </w:r>
      <w:r w:rsidR="001857AA" w:rsidRPr="001857AA">
        <w:rPr>
          <w:rFonts w:ascii="Arial" w:hAnsi="Arial" w:hint="cs"/>
          <w:b/>
          <w:bCs/>
          <w:noProof w:val="0"/>
          <w:u w:val="single"/>
          <w:rtl/>
        </w:rPr>
        <w:t>פסק הדין בתביעת המזונות והחיוב שהוטל על המנוח כאביו של הקטין</w:t>
      </w:r>
      <w:r>
        <w:rPr>
          <w:rFonts w:ascii="Arial" w:hAnsi="Arial" w:hint="cs"/>
          <w:b/>
          <w:bCs/>
          <w:noProof w:val="0"/>
          <w:u w:val="single"/>
          <w:rtl/>
        </w:rPr>
        <w:t xml:space="preserve"> לשם קביעת מעמדו של הקטין כיורש על פי דין?</w:t>
      </w:r>
    </w:p>
    <w:p w:rsidR="001857AA" w:rsidRDefault="001857AA" w:rsidP="0057768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כאמור, ביום 1.12.2015 חויב המנוח במזונות הקטין במסגרת תביעת המזונות. </w:t>
      </w:r>
    </w:p>
    <w:p w:rsidR="00E61A5D" w:rsidRDefault="00E61A5D" w:rsidP="00E61A5D">
      <w:pPr>
        <w:pStyle w:val="ad"/>
        <w:spacing w:after="120" w:line="360" w:lineRule="auto"/>
        <w:ind w:left="567"/>
        <w:contextualSpacing w:val="0"/>
        <w:jc w:val="both"/>
        <w:rPr>
          <w:rFonts w:ascii="Arial" w:hAnsi="Arial"/>
          <w:noProof w:val="0"/>
        </w:rPr>
      </w:pPr>
      <w:r>
        <w:rPr>
          <w:rFonts w:ascii="Arial" w:hAnsi="Arial" w:hint="cs"/>
          <w:noProof w:val="0"/>
          <w:rtl/>
        </w:rPr>
        <w:t>כבוד השופט ט. פפרני הסתמך</w:t>
      </w:r>
      <w:r w:rsidR="003F1F4E">
        <w:rPr>
          <w:rFonts w:ascii="Arial" w:hAnsi="Arial" w:hint="cs"/>
          <w:noProof w:val="0"/>
          <w:rtl/>
        </w:rPr>
        <w:t xml:space="preserve"> בפסק הדין בתביעת המזונות</w:t>
      </w:r>
      <w:r>
        <w:rPr>
          <w:rFonts w:ascii="Arial" w:hAnsi="Arial" w:hint="cs"/>
          <w:noProof w:val="0"/>
          <w:rtl/>
        </w:rPr>
        <w:t>, בין היתר, על התחייבות המנוח לקבל על עצמו אבהות על הקטין "</w:t>
      </w:r>
      <w:r>
        <w:rPr>
          <w:rFonts w:ascii="Arial" w:hAnsi="Arial" w:hint="cs"/>
          <w:b/>
          <w:bCs/>
          <w:noProof w:val="0"/>
          <w:rtl/>
        </w:rPr>
        <w:t xml:space="preserve">על כל המשתמע מכך" </w:t>
      </w:r>
      <w:r>
        <w:rPr>
          <w:rFonts w:ascii="Arial" w:hAnsi="Arial" w:hint="cs"/>
          <w:noProof w:val="0"/>
          <w:rtl/>
        </w:rPr>
        <w:t>וציין, כי חובתו הראשונה של הורה כלפי ילדו היא לדאוג לצרכיו  הפיזיים והנפשיים. נקבע, כי למנוח עומדת "</w:t>
      </w:r>
      <w:r w:rsidRPr="00E61A5D">
        <w:rPr>
          <w:rFonts w:ascii="Arial" w:hAnsi="Arial" w:hint="cs"/>
          <w:b/>
          <w:bCs/>
          <w:noProof w:val="0"/>
          <w:rtl/>
        </w:rPr>
        <w:t>התחייבות חוזית מפורשת וכתובה לדאוג לקטין ודאגה זו מתבטאת, בין היתר, בחובתו לשאת במזונותיו</w:t>
      </w:r>
      <w:r>
        <w:rPr>
          <w:rFonts w:ascii="Arial" w:hAnsi="Arial" w:hint="cs"/>
          <w:noProof w:val="0"/>
          <w:rtl/>
        </w:rPr>
        <w:t>".</w:t>
      </w:r>
    </w:p>
    <w:p w:rsidR="00074F4E" w:rsidRDefault="001857AA" w:rsidP="0090248E">
      <w:pPr>
        <w:pStyle w:val="ad"/>
        <w:spacing w:after="120" w:line="360" w:lineRule="auto"/>
        <w:ind w:left="567"/>
        <w:contextualSpacing w:val="0"/>
        <w:jc w:val="both"/>
        <w:rPr>
          <w:rFonts w:ascii="Arial" w:hAnsi="Arial"/>
          <w:noProof w:val="0"/>
          <w:rtl/>
        </w:rPr>
      </w:pPr>
      <w:r>
        <w:rPr>
          <w:rFonts w:ascii="Arial" w:hAnsi="Arial" w:hint="cs"/>
          <w:noProof w:val="0"/>
          <w:rtl/>
        </w:rPr>
        <w:t>באותו ענין הסתמך בית המשפט</w:t>
      </w:r>
      <w:r w:rsidR="00B22A1E">
        <w:rPr>
          <w:rFonts w:ascii="Arial" w:hAnsi="Arial" w:hint="cs"/>
          <w:noProof w:val="0"/>
          <w:rtl/>
        </w:rPr>
        <w:t xml:space="preserve"> </w:t>
      </w:r>
      <w:r>
        <w:rPr>
          <w:rFonts w:ascii="Arial" w:hAnsi="Arial" w:hint="cs"/>
          <w:noProof w:val="0"/>
          <w:rtl/>
        </w:rPr>
        <w:t xml:space="preserve">על בע"מ 4751/12 </w:t>
      </w:r>
      <w:r>
        <w:rPr>
          <w:rFonts w:ascii="Arial" w:hAnsi="Arial" w:hint="cs"/>
          <w:b/>
          <w:bCs/>
          <w:noProof w:val="0"/>
          <w:rtl/>
        </w:rPr>
        <w:t xml:space="preserve">אלמוני נ' אלמונית </w:t>
      </w:r>
      <w:r>
        <w:rPr>
          <w:rFonts w:ascii="Arial" w:hAnsi="Arial" w:hint="cs"/>
          <w:noProof w:val="0"/>
          <w:rtl/>
        </w:rPr>
        <w:t xml:space="preserve">(28.9.2013) (סעיף 15 לפסק הדין) </w:t>
      </w:r>
      <w:r w:rsidR="00B22A1E">
        <w:rPr>
          <w:rFonts w:ascii="Arial" w:hAnsi="Arial" w:hint="cs"/>
          <w:noProof w:val="0"/>
          <w:rtl/>
        </w:rPr>
        <w:t>שם נקבע,</w:t>
      </w:r>
      <w:r>
        <w:rPr>
          <w:rFonts w:ascii="Arial" w:hAnsi="Arial" w:hint="cs"/>
          <w:noProof w:val="0"/>
          <w:rtl/>
        </w:rPr>
        <w:t xml:space="preserve"> כי בהסתמך על ה"סביבה ההסכמית" ומאחר וקיימים תאים משפחתיים שאינם נכנסים בגדרו של חיוב במזונות בהתאם לדין האישי ואף לא בהתאם ל"מסלול האזרחי" הקבוע בסעיף 3(ב) לחוק לתיקון דיני משפחה </w:t>
      </w:r>
      <w:r w:rsidR="00074F4E">
        <w:rPr>
          <w:rFonts w:ascii="Arial" w:hAnsi="Arial" w:hint="cs"/>
          <w:noProof w:val="0"/>
          <w:rtl/>
        </w:rPr>
        <w:t>(מזונות), תשי"ט-1959</w:t>
      </w:r>
      <w:r>
        <w:rPr>
          <w:rFonts w:ascii="Arial" w:hAnsi="Arial" w:hint="cs"/>
          <w:noProof w:val="0"/>
          <w:rtl/>
        </w:rPr>
        <w:t xml:space="preserve"> </w:t>
      </w:r>
      <w:r w:rsidR="00074F4E">
        <w:rPr>
          <w:rFonts w:ascii="Arial" w:hAnsi="Arial" w:hint="cs"/>
          <w:noProof w:val="0"/>
          <w:rtl/>
        </w:rPr>
        <w:t>(</w:t>
      </w:r>
      <w:r w:rsidR="00074F4E">
        <w:rPr>
          <w:rFonts w:ascii="Arial" w:hAnsi="Arial" w:hint="cs"/>
          <w:b/>
          <w:bCs/>
          <w:noProof w:val="0"/>
          <w:rtl/>
        </w:rPr>
        <w:t>"חוק המזונות"</w:t>
      </w:r>
      <w:r w:rsidR="00074F4E">
        <w:rPr>
          <w:rFonts w:ascii="Arial" w:hAnsi="Arial" w:hint="cs"/>
          <w:noProof w:val="0"/>
          <w:rtl/>
        </w:rPr>
        <w:t xml:space="preserve">) </w:t>
      </w:r>
      <w:r w:rsidR="00B22A1E">
        <w:rPr>
          <w:rFonts w:ascii="Arial" w:hAnsi="Arial" w:hint="cs"/>
          <w:noProof w:val="0"/>
          <w:rtl/>
        </w:rPr>
        <w:t xml:space="preserve">- </w:t>
      </w:r>
      <w:r>
        <w:rPr>
          <w:rFonts w:ascii="Arial" w:hAnsi="Arial" w:hint="cs"/>
          <w:noProof w:val="0"/>
          <w:rtl/>
        </w:rPr>
        <w:t>ניתן להסתמך על עקרונות הדין הא</w:t>
      </w:r>
      <w:r w:rsidR="00074F4E">
        <w:rPr>
          <w:rFonts w:ascii="Arial" w:hAnsi="Arial" w:hint="cs"/>
          <w:noProof w:val="0"/>
          <w:rtl/>
        </w:rPr>
        <w:t>ז</w:t>
      </w:r>
      <w:r>
        <w:rPr>
          <w:rFonts w:ascii="Arial" w:hAnsi="Arial" w:hint="cs"/>
          <w:noProof w:val="0"/>
          <w:rtl/>
        </w:rPr>
        <w:t xml:space="preserve">רחי ועל דיני החוזים באופן ספציפי כמקור נוסף לביסוס חובות מזונות לצד </w:t>
      </w:r>
      <w:r w:rsidR="00074F4E">
        <w:rPr>
          <w:rFonts w:ascii="Arial" w:hAnsi="Arial" w:hint="cs"/>
          <w:noProof w:val="0"/>
          <w:rtl/>
        </w:rPr>
        <w:t>הוראות ה</w:t>
      </w:r>
      <w:r>
        <w:rPr>
          <w:rFonts w:ascii="Arial" w:hAnsi="Arial" w:hint="cs"/>
          <w:noProof w:val="0"/>
          <w:rtl/>
        </w:rPr>
        <w:t xml:space="preserve">חוק </w:t>
      </w:r>
      <w:r w:rsidR="00074F4E">
        <w:rPr>
          <w:rFonts w:ascii="Arial" w:hAnsi="Arial" w:hint="cs"/>
          <w:noProof w:val="0"/>
          <w:rtl/>
        </w:rPr>
        <w:t>האמור</w:t>
      </w:r>
      <w:r>
        <w:rPr>
          <w:rFonts w:ascii="Arial" w:hAnsi="Arial" w:hint="cs"/>
          <w:noProof w:val="0"/>
          <w:rtl/>
        </w:rPr>
        <w:t xml:space="preserve">. </w:t>
      </w:r>
    </w:p>
    <w:p w:rsidR="001857AA" w:rsidRDefault="001857AA" w:rsidP="00074F4E">
      <w:pPr>
        <w:pStyle w:val="ad"/>
        <w:spacing w:after="120" w:line="360" w:lineRule="auto"/>
        <w:ind w:left="567"/>
        <w:contextualSpacing w:val="0"/>
        <w:jc w:val="both"/>
        <w:rPr>
          <w:rFonts w:ascii="Arial" w:hAnsi="Arial"/>
          <w:noProof w:val="0"/>
          <w:rtl/>
        </w:rPr>
      </w:pPr>
      <w:r>
        <w:rPr>
          <w:rFonts w:ascii="Arial" w:hAnsi="Arial" w:hint="cs"/>
          <w:noProof w:val="0"/>
          <w:rtl/>
        </w:rPr>
        <w:t>כבוד השופט י. עמית ציין</w:t>
      </w:r>
      <w:r w:rsidR="003F1F4E">
        <w:rPr>
          <w:rFonts w:ascii="Arial" w:hAnsi="Arial" w:hint="cs"/>
          <w:noProof w:val="0"/>
          <w:rtl/>
        </w:rPr>
        <w:t xml:space="preserve"> באותו ענין</w:t>
      </w:r>
      <w:r>
        <w:rPr>
          <w:rFonts w:ascii="Arial" w:hAnsi="Arial" w:hint="cs"/>
          <w:noProof w:val="0"/>
          <w:rtl/>
        </w:rPr>
        <w:t>, כי בצד שיקו</w:t>
      </w:r>
      <w:r w:rsidR="00B22A1E">
        <w:rPr>
          <w:rFonts w:ascii="Arial" w:hAnsi="Arial" w:hint="cs"/>
          <w:noProof w:val="0"/>
          <w:rtl/>
        </w:rPr>
        <w:t>ל</w:t>
      </w:r>
      <w:r>
        <w:rPr>
          <w:rFonts w:ascii="Arial" w:hAnsi="Arial" w:hint="cs"/>
          <w:noProof w:val="0"/>
          <w:rtl/>
        </w:rPr>
        <w:t>י ההסתמכות, יש ליתן משקל גם לשיקולי צדק</w:t>
      </w:r>
      <w:r w:rsidR="00B22A1E">
        <w:rPr>
          <w:rFonts w:ascii="Arial" w:hAnsi="Arial" w:hint="cs"/>
          <w:noProof w:val="0"/>
          <w:rtl/>
        </w:rPr>
        <w:t xml:space="preserve"> כהצדקה לחיוב ההורה שאינו ביולוגי במזונות</w:t>
      </w:r>
      <w:r>
        <w:rPr>
          <w:rFonts w:ascii="Arial" w:hAnsi="Arial" w:hint="cs"/>
          <w:noProof w:val="0"/>
          <w:rtl/>
        </w:rPr>
        <w:t xml:space="preserve">. </w:t>
      </w:r>
    </w:p>
    <w:p w:rsidR="001857AA" w:rsidRPr="003F1F4E" w:rsidRDefault="001857AA" w:rsidP="00D62633">
      <w:pPr>
        <w:pStyle w:val="ad"/>
        <w:numPr>
          <w:ilvl w:val="0"/>
          <w:numId w:val="1"/>
        </w:numPr>
        <w:spacing w:after="120" w:line="360" w:lineRule="auto"/>
        <w:ind w:left="567" w:hanging="567"/>
        <w:contextualSpacing w:val="0"/>
        <w:jc w:val="both"/>
        <w:rPr>
          <w:rFonts w:ascii="Arial" w:hAnsi="Arial"/>
          <w:noProof w:val="0"/>
        </w:rPr>
      </w:pPr>
      <w:r w:rsidRPr="003F1F4E">
        <w:rPr>
          <w:rFonts w:ascii="Arial" w:hAnsi="Arial" w:hint="cs"/>
          <w:noProof w:val="0"/>
          <w:rtl/>
        </w:rPr>
        <w:t xml:space="preserve">פסק הדין בתביעת המזונות מבוסס ונטוע היטב שכן ההלכה בענין זה נקבעה כבר בע"א 449/79 </w:t>
      </w:r>
      <w:r w:rsidRPr="003F1F4E">
        <w:rPr>
          <w:rFonts w:ascii="Arial" w:hAnsi="Arial" w:hint="cs"/>
          <w:b/>
          <w:bCs/>
          <w:noProof w:val="0"/>
          <w:rtl/>
        </w:rPr>
        <w:t xml:space="preserve">סלמה נ' סלמה </w:t>
      </w:r>
      <w:r w:rsidRPr="003F1F4E">
        <w:rPr>
          <w:rFonts w:ascii="Arial" w:hAnsi="Arial" w:hint="cs"/>
          <w:noProof w:val="0"/>
          <w:rtl/>
        </w:rPr>
        <w:t>(12.8.1980) (</w:t>
      </w:r>
      <w:r w:rsidRPr="003F1F4E">
        <w:rPr>
          <w:rFonts w:ascii="Arial" w:hAnsi="Arial" w:hint="cs"/>
          <w:b/>
          <w:bCs/>
          <w:noProof w:val="0"/>
          <w:rtl/>
        </w:rPr>
        <w:t>"ענין סלמה"</w:t>
      </w:r>
      <w:r w:rsidRPr="003F1F4E">
        <w:rPr>
          <w:rFonts w:ascii="Arial" w:hAnsi="Arial" w:hint="cs"/>
          <w:noProof w:val="0"/>
          <w:rtl/>
        </w:rPr>
        <w:t>) כאשר קבע בית המשפט העליון חיוב אדם במזונות ילדה שנולדה מתרומת זרע אנונימית. פסק הדין הסתמך על היסודות ההסכמיים שנכרתו בין בני הזוג טרם הליך ההפריה</w:t>
      </w:r>
      <w:r w:rsidR="003F1F4E">
        <w:rPr>
          <w:rFonts w:ascii="Arial" w:hAnsi="Arial" w:hint="cs"/>
          <w:noProof w:val="0"/>
          <w:rtl/>
        </w:rPr>
        <w:t xml:space="preserve"> כמבסס את החיוב לדאוג לצרכי הקטינה</w:t>
      </w:r>
      <w:r w:rsidRPr="003F1F4E">
        <w:rPr>
          <w:rFonts w:ascii="Arial" w:hAnsi="Arial" w:hint="cs"/>
          <w:noProof w:val="0"/>
          <w:rtl/>
        </w:rPr>
        <w:t xml:space="preserve">. </w:t>
      </w:r>
    </w:p>
    <w:p w:rsidR="00A1114B" w:rsidRDefault="00A1114B" w:rsidP="003F1F4E">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כך, חיוב בן זוג של הורה במזונות קטין אינו נובע</w:t>
      </w:r>
      <w:r w:rsidR="003F1F4E">
        <w:rPr>
          <w:rFonts w:ascii="Arial" w:hAnsi="Arial" w:hint="cs"/>
          <w:noProof w:val="0"/>
          <w:rtl/>
        </w:rPr>
        <w:t>, בהכרח,</w:t>
      </w:r>
      <w:r>
        <w:rPr>
          <w:rFonts w:ascii="Arial" w:hAnsi="Arial" w:hint="cs"/>
          <w:noProof w:val="0"/>
          <w:rtl/>
        </w:rPr>
        <w:t xml:space="preserve"> מהכרה בו כהורה אלא </w:t>
      </w:r>
      <w:r w:rsidR="003F1F4E">
        <w:rPr>
          <w:rFonts w:ascii="Arial" w:hAnsi="Arial" w:hint="cs"/>
          <w:noProof w:val="0"/>
          <w:rtl/>
        </w:rPr>
        <w:t xml:space="preserve">יכול ויתבסס על מערכת </w:t>
      </w:r>
      <w:r>
        <w:rPr>
          <w:rFonts w:ascii="Arial" w:hAnsi="Arial" w:hint="cs"/>
          <w:noProof w:val="0"/>
          <w:rtl/>
        </w:rPr>
        <w:t xml:space="preserve">הסכמית שנבנתה בינו ובין בן זוגו, ההסתמכות על ההתחייבות ועל שיקולי צדק. </w:t>
      </w:r>
    </w:p>
    <w:p w:rsidR="00095548" w:rsidRPr="00A1114B" w:rsidRDefault="00A1114B" w:rsidP="00074F4E">
      <w:pPr>
        <w:pStyle w:val="ad"/>
        <w:numPr>
          <w:ilvl w:val="0"/>
          <w:numId w:val="1"/>
        </w:numPr>
        <w:spacing w:after="120" w:line="360" w:lineRule="auto"/>
        <w:ind w:left="567" w:hanging="567"/>
        <w:contextualSpacing w:val="0"/>
        <w:jc w:val="both"/>
        <w:rPr>
          <w:rFonts w:ascii="Arial" w:hAnsi="Arial"/>
          <w:noProof w:val="0"/>
        </w:rPr>
      </w:pPr>
      <w:r>
        <w:rPr>
          <w:rFonts w:hint="cs"/>
          <w:rtl/>
        </w:rPr>
        <w:t xml:space="preserve">מ. שמגר, במאמרו </w:t>
      </w:r>
      <w:r>
        <w:rPr>
          <w:rFonts w:hint="cs"/>
          <w:b/>
          <w:bCs/>
          <w:rtl/>
        </w:rPr>
        <w:t xml:space="preserve">"סוגיות בנושאי הפריה ולידה" </w:t>
      </w:r>
      <w:r>
        <w:rPr>
          <w:rFonts w:hint="cs"/>
          <w:rtl/>
        </w:rPr>
        <w:t xml:space="preserve">הפרקליט, ספר היובל (1993) מתייחס לפסק הדין </w:t>
      </w:r>
      <w:r w:rsidRPr="00606D3D">
        <w:rPr>
          <w:rFonts w:hint="cs"/>
          <w:b/>
          <w:bCs/>
          <w:rtl/>
        </w:rPr>
        <w:t>בענין סלמה</w:t>
      </w:r>
      <w:r>
        <w:rPr>
          <w:rFonts w:hint="cs"/>
          <w:rtl/>
        </w:rPr>
        <w:t xml:space="preserve"> ומסביר, כך:</w:t>
      </w:r>
    </w:p>
    <w:p w:rsidR="00A1114B" w:rsidRDefault="00A1114B" w:rsidP="00A1114B">
      <w:pPr>
        <w:pStyle w:val="ad"/>
        <w:spacing w:after="120" w:line="360" w:lineRule="auto"/>
        <w:ind w:left="1134" w:right="567"/>
        <w:contextualSpacing w:val="0"/>
        <w:jc w:val="both"/>
        <w:rPr>
          <w:rFonts w:ascii="Arial" w:hAnsi="Arial"/>
          <w:b/>
          <w:bCs/>
          <w:noProof w:val="0"/>
          <w:rtl/>
        </w:rPr>
      </w:pPr>
      <w:r w:rsidRPr="00A1114B">
        <w:rPr>
          <w:rFonts w:hint="cs"/>
          <w:b/>
          <w:bCs/>
          <w:rtl/>
        </w:rPr>
        <w:t>"ענין מעמדו וזכויותיו של הבעל שאשתו מופרית</w:t>
      </w:r>
      <w:r w:rsidR="00606D3D">
        <w:rPr>
          <w:rFonts w:hint="cs"/>
          <w:b/>
          <w:bCs/>
          <w:rtl/>
        </w:rPr>
        <w:t xml:space="preserve"> </w:t>
      </w:r>
      <w:r w:rsidRPr="00A1114B">
        <w:rPr>
          <w:rFonts w:hint="cs"/>
          <w:b/>
          <w:bCs/>
          <w:rtl/>
        </w:rPr>
        <w:t>מ</w:t>
      </w:r>
      <w:r w:rsidR="00606D3D">
        <w:rPr>
          <w:rFonts w:hint="cs"/>
          <w:b/>
          <w:bCs/>
          <w:rtl/>
        </w:rPr>
        <w:t>לאכותית איננו חופשי מבעיות משפט</w:t>
      </w:r>
      <w:r w:rsidRPr="00A1114B">
        <w:rPr>
          <w:rFonts w:hint="cs"/>
          <w:b/>
          <w:bCs/>
          <w:rtl/>
        </w:rPr>
        <w:t>יות הטענות פתרון, בחקיקה או בפסיקה (או בשניהם). לא נדון ולא נפסק אצלנו אם ההסכמה להפריה יוצרת סטטוס משפטי של אבהות לצורך כל מטרה; אף החובה לשאת במזונות, בין עקב חובתו של הבעל לגבי</w:t>
      </w:r>
      <w:r>
        <w:rPr>
          <w:rFonts w:hint="cs"/>
          <w:b/>
          <w:bCs/>
          <w:rtl/>
        </w:rPr>
        <w:t xml:space="preserve"> ילדה של אשת</w:t>
      </w:r>
      <w:r w:rsidRPr="00A1114B">
        <w:rPr>
          <w:rFonts w:hint="cs"/>
          <w:b/>
          <w:bCs/>
          <w:rtl/>
        </w:rPr>
        <w:t>ו או כתוצאה מהסכמה להפריה... עדיין אינה מבהירה אם קיים בסיס להטלת חיובים והקניית זכויות לבעל או לילד בתחומים אחרים"</w:t>
      </w:r>
    </w:p>
    <w:p w:rsidR="002D14DB" w:rsidRPr="00833822" w:rsidRDefault="002D14DB" w:rsidP="00CC4255">
      <w:pPr>
        <w:pStyle w:val="ad"/>
        <w:numPr>
          <w:ilvl w:val="0"/>
          <w:numId w:val="1"/>
        </w:numPr>
        <w:spacing w:after="120" w:line="360" w:lineRule="auto"/>
        <w:ind w:left="567" w:hanging="567"/>
        <w:contextualSpacing w:val="0"/>
        <w:jc w:val="both"/>
        <w:rPr>
          <w:rFonts w:ascii="Arial" w:hAnsi="Arial"/>
          <w:noProof w:val="0"/>
        </w:rPr>
      </w:pPr>
      <w:r w:rsidRPr="00833822">
        <w:rPr>
          <w:rFonts w:ascii="Arial" w:hAnsi="Arial" w:hint="cs"/>
          <w:noProof w:val="0"/>
          <w:rtl/>
        </w:rPr>
        <w:t xml:space="preserve">ניתוח של המשמעות של הקביעות </w:t>
      </w:r>
      <w:r w:rsidRPr="00833822">
        <w:rPr>
          <w:rFonts w:ascii="Arial" w:hAnsi="Arial" w:hint="cs"/>
          <w:b/>
          <w:bCs/>
          <w:noProof w:val="0"/>
          <w:rtl/>
        </w:rPr>
        <w:t>בענין סלמה</w:t>
      </w:r>
      <w:r w:rsidRPr="00833822">
        <w:rPr>
          <w:rFonts w:ascii="Arial" w:hAnsi="Arial" w:hint="cs"/>
          <w:noProof w:val="0"/>
          <w:rtl/>
        </w:rPr>
        <w:t xml:space="preserve"> מובא גם על ידי פ. שיפמן, במאמרו </w:t>
      </w:r>
      <w:r w:rsidRPr="00833822">
        <w:rPr>
          <w:rFonts w:ascii="Arial" w:hAnsi="Arial" w:hint="cs"/>
          <w:b/>
          <w:bCs/>
          <w:noProof w:val="0"/>
          <w:rtl/>
        </w:rPr>
        <w:t>"קביעת אבהות בילד שנולד מהזרעה מלאכותית</w:t>
      </w:r>
      <w:r w:rsidRPr="00833822">
        <w:rPr>
          <w:rFonts w:ascii="Arial" w:hAnsi="Arial" w:hint="cs"/>
          <w:noProof w:val="0"/>
          <w:rtl/>
        </w:rPr>
        <w:t>", משפטים י' 63 (1980)</w:t>
      </w:r>
      <w:r w:rsidR="008426D7" w:rsidRPr="00833822">
        <w:rPr>
          <w:rFonts w:ascii="Arial" w:hAnsi="Arial" w:hint="cs"/>
          <w:noProof w:val="0"/>
          <w:rtl/>
        </w:rPr>
        <w:t xml:space="preserve"> בעמ' 78</w:t>
      </w:r>
      <w:r w:rsidRPr="00833822">
        <w:rPr>
          <w:rFonts w:ascii="Arial" w:hAnsi="Arial" w:hint="cs"/>
          <w:noProof w:val="0"/>
          <w:rtl/>
        </w:rPr>
        <w:t xml:space="preserve">. </w:t>
      </w:r>
      <w:r w:rsidR="008426D7" w:rsidRPr="00833822">
        <w:rPr>
          <w:rFonts w:ascii="Arial" w:hAnsi="Arial" w:hint="cs"/>
          <w:noProof w:val="0"/>
          <w:rtl/>
        </w:rPr>
        <w:t>הוסבר</w:t>
      </w:r>
      <w:r w:rsidRPr="00833822">
        <w:rPr>
          <w:rFonts w:ascii="Arial" w:hAnsi="Arial" w:hint="cs"/>
          <w:noProof w:val="0"/>
          <w:rtl/>
        </w:rPr>
        <w:t>, כי "</w:t>
      </w:r>
      <w:r w:rsidRPr="00833822">
        <w:rPr>
          <w:rFonts w:ascii="Arial" w:hAnsi="Arial" w:hint="cs"/>
          <w:b/>
          <w:bCs/>
          <w:noProof w:val="0"/>
          <w:rtl/>
        </w:rPr>
        <w:t>על הבעל הנוהג כאבי הילד מוטלת החובה לדאוג לצרכי הקטין</w:t>
      </w:r>
      <w:r w:rsidRPr="00833822">
        <w:rPr>
          <w:rFonts w:ascii="Arial" w:hAnsi="Arial" w:hint="cs"/>
          <w:noProof w:val="0"/>
          <w:rtl/>
        </w:rPr>
        <w:t xml:space="preserve">" כאשר זכות המזונות של הילד כלפי </w:t>
      </w:r>
      <w:r w:rsidRPr="00833822">
        <w:rPr>
          <w:rFonts w:ascii="Arial" w:hAnsi="Arial" w:hint="cs"/>
          <w:noProof w:val="0"/>
          <w:rtl/>
        </w:rPr>
        <w:lastRenderedPageBreak/>
        <w:t>הבעל מבוססת על יסוד הסכמתו לביצוע ההזרעה  אולם גם אם יש הסכמה של הבעל לביצוע ההזרעה המלאכותית "</w:t>
      </w:r>
      <w:r w:rsidRPr="00833822">
        <w:rPr>
          <w:rFonts w:ascii="Arial" w:hAnsi="Arial" w:hint="cs"/>
          <w:b/>
          <w:bCs/>
          <w:noProof w:val="0"/>
          <w:rtl/>
        </w:rPr>
        <w:t>אין בכך כדי להקנות לו מעמד משפטי של אבי הילד</w:t>
      </w:r>
      <w:r w:rsidRPr="00833822">
        <w:rPr>
          <w:rFonts w:ascii="Arial" w:hAnsi="Arial" w:hint="cs"/>
          <w:noProof w:val="0"/>
          <w:rtl/>
        </w:rPr>
        <w:t>".</w:t>
      </w:r>
      <w:r w:rsidR="008426D7" w:rsidRPr="00833822">
        <w:rPr>
          <w:rFonts w:ascii="Arial" w:hAnsi="Arial" w:hint="cs"/>
          <w:noProof w:val="0"/>
          <w:rtl/>
        </w:rPr>
        <w:t xml:space="preserve"> </w:t>
      </w:r>
    </w:p>
    <w:p w:rsidR="00A1114B" w:rsidRPr="00A1114B" w:rsidRDefault="00A1114B" w:rsidP="00A1114B">
      <w:pPr>
        <w:pStyle w:val="ad"/>
        <w:numPr>
          <w:ilvl w:val="0"/>
          <w:numId w:val="1"/>
        </w:numPr>
        <w:spacing w:after="120" w:line="360" w:lineRule="auto"/>
        <w:ind w:left="567" w:hanging="567"/>
        <w:contextualSpacing w:val="0"/>
        <w:jc w:val="both"/>
        <w:rPr>
          <w:rFonts w:ascii="Arial" w:hAnsi="Arial"/>
          <w:noProof w:val="0"/>
        </w:rPr>
      </w:pPr>
      <w:r w:rsidRPr="00A1114B">
        <w:rPr>
          <w:rFonts w:ascii="Arial" w:hAnsi="Arial" w:hint="cs"/>
          <w:noProof w:val="0"/>
          <w:rtl/>
        </w:rPr>
        <w:t xml:space="preserve">כלומר, אין לגרור מהחיוב החוזי השלכות הנוגעות לקביעת חיובים או זכויות בתחומים אחרים. </w:t>
      </w:r>
    </w:p>
    <w:p w:rsidR="004D225A" w:rsidRDefault="00F36168" w:rsidP="003D2759">
      <w:pPr>
        <w:pStyle w:val="ad"/>
        <w:spacing w:after="120" w:line="360" w:lineRule="auto"/>
        <w:ind w:left="567"/>
        <w:contextualSpacing w:val="0"/>
        <w:jc w:val="both"/>
        <w:rPr>
          <w:rFonts w:ascii="Arial" w:hAnsi="Arial"/>
          <w:noProof w:val="0"/>
        </w:rPr>
      </w:pPr>
      <w:r>
        <w:rPr>
          <w:rFonts w:ascii="Arial" w:hAnsi="Arial" w:hint="cs"/>
          <w:noProof w:val="0"/>
          <w:rtl/>
        </w:rPr>
        <w:t>על אף ה</w:t>
      </w:r>
      <w:r w:rsidR="00B22A1E">
        <w:rPr>
          <w:rFonts w:ascii="Arial" w:hAnsi="Arial" w:hint="cs"/>
          <w:noProof w:val="0"/>
          <w:rtl/>
        </w:rPr>
        <w:t xml:space="preserve">הסתמכות על המערכת ההסכמית כדי לקבוע </w:t>
      </w:r>
      <w:r>
        <w:rPr>
          <w:rFonts w:ascii="Arial" w:hAnsi="Arial" w:hint="cs"/>
          <w:noProof w:val="0"/>
          <w:rtl/>
        </w:rPr>
        <w:t xml:space="preserve">חיוב </w:t>
      </w:r>
      <w:r w:rsidR="00B22A1E">
        <w:rPr>
          <w:rFonts w:ascii="Arial" w:hAnsi="Arial" w:hint="cs"/>
          <w:noProof w:val="0"/>
          <w:rtl/>
        </w:rPr>
        <w:t xml:space="preserve">של </w:t>
      </w:r>
      <w:r>
        <w:rPr>
          <w:rFonts w:ascii="Arial" w:hAnsi="Arial" w:hint="cs"/>
          <w:noProof w:val="0"/>
          <w:rtl/>
        </w:rPr>
        <w:t xml:space="preserve">בן הזוג </w:t>
      </w:r>
      <w:r w:rsidR="00B22A1E">
        <w:rPr>
          <w:rFonts w:ascii="Arial" w:hAnsi="Arial" w:hint="cs"/>
          <w:noProof w:val="0"/>
          <w:rtl/>
        </w:rPr>
        <w:t xml:space="preserve">של ההורה הביולוגי </w:t>
      </w:r>
      <w:r w:rsidR="00DE551D">
        <w:rPr>
          <w:rFonts w:ascii="Arial" w:hAnsi="Arial" w:hint="cs"/>
          <w:noProof w:val="0"/>
          <w:rtl/>
        </w:rPr>
        <w:t>-</w:t>
      </w:r>
      <w:r>
        <w:rPr>
          <w:rFonts w:ascii="Arial" w:hAnsi="Arial" w:hint="cs"/>
          <w:noProof w:val="0"/>
          <w:rtl/>
        </w:rPr>
        <w:t xml:space="preserve"> </w:t>
      </w:r>
      <w:r w:rsidR="001857AA">
        <w:rPr>
          <w:rFonts w:ascii="Arial" w:hAnsi="Arial" w:hint="cs"/>
          <w:noProof w:val="0"/>
          <w:rtl/>
        </w:rPr>
        <w:t>הפסיקה</w:t>
      </w:r>
      <w:r w:rsidR="00DE551D">
        <w:rPr>
          <w:rFonts w:ascii="Arial" w:hAnsi="Arial" w:hint="cs"/>
          <w:noProof w:val="0"/>
          <w:rtl/>
        </w:rPr>
        <w:t xml:space="preserve"> </w:t>
      </w:r>
      <w:r>
        <w:rPr>
          <w:rFonts w:ascii="Arial" w:hAnsi="Arial" w:hint="cs"/>
          <w:noProof w:val="0"/>
          <w:rtl/>
        </w:rPr>
        <w:t xml:space="preserve">הדגישה, כי אין לאפשר מסלול אלטרנטיבי של הכרה </w:t>
      </w:r>
      <w:r w:rsidRPr="00B22A1E">
        <w:rPr>
          <w:rFonts w:ascii="Arial" w:hAnsi="Arial" w:hint="cs"/>
          <w:b/>
          <w:bCs/>
          <w:noProof w:val="0"/>
          <w:rtl/>
        </w:rPr>
        <w:t xml:space="preserve">בהורות </w:t>
      </w:r>
      <w:r>
        <w:rPr>
          <w:rFonts w:ascii="Arial" w:hAnsi="Arial" w:hint="cs"/>
          <w:noProof w:val="0"/>
          <w:rtl/>
        </w:rPr>
        <w:t xml:space="preserve">בן זוגו של ההורה הנתרם </w:t>
      </w:r>
      <w:r w:rsidR="001857AA">
        <w:rPr>
          <w:rFonts w:ascii="Arial" w:hAnsi="Arial" w:hint="cs"/>
          <w:noProof w:val="0"/>
          <w:rtl/>
        </w:rPr>
        <w:t>(</w:t>
      </w:r>
      <w:r w:rsidR="001857AA" w:rsidRPr="00DE551D">
        <w:rPr>
          <w:rFonts w:ascii="Arial" w:hAnsi="Arial"/>
          <w:noProof w:val="0"/>
          <w:rtl/>
        </w:rPr>
        <w:t>עמ"ש (מחוזי מרכז) 37758-10-22 </w:t>
      </w:r>
      <w:r w:rsidR="001857AA" w:rsidRPr="00DE551D">
        <w:rPr>
          <w:rFonts w:ascii="Arial" w:hAnsi="Arial"/>
          <w:b/>
          <w:bCs/>
          <w:noProof w:val="0"/>
          <w:rtl/>
        </w:rPr>
        <w:t>היועצת המשפטית לממשלה נ' פלונית</w:t>
      </w:r>
      <w:r w:rsidR="00DE551D">
        <w:rPr>
          <w:rFonts w:ascii="Arial" w:hAnsi="Arial" w:hint="cs"/>
          <w:noProof w:val="0"/>
          <w:rtl/>
        </w:rPr>
        <w:t xml:space="preserve"> (12.2.2023), שם ביטל בית המשפט המחוזי מינוי בת הזוג של האֵם הנתרמת כאפוטרופסית נוספת על הקטין הנולד). </w:t>
      </w:r>
    </w:p>
    <w:p w:rsidR="003F1FA1" w:rsidRDefault="00B22A1E" w:rsidP="003D2759">
      <w:pPr>
        <w:pStyle w:val="ad"/>
        <w:spacing w:after="120" w:line="360" w:lineRule="auto"/>
        <w:ind w:left="567"/>
        <w:contextualSpacing w:val="0"/>
        <w:jc w:val="both"/>
        <w:rPr>
          <w:rFonts w:ascii="Arial" w:hAnsi="Arial"/>
          <w:noProof w:val="0"/>
          <w:rtl/>
        </w:rPr>
      </w:pPr>
      <w:r w:rsidRPr="00FB4764">
        <w:rPr>
          <w:rFonts w:ascii="Arial" w:hAnsi="Arial" w:hint="cs"/>
          <w:b/>
          <w:bCs/>
          <w:noProof w:val="0"/>
          <w:rtl/>
        </w:rPr>
        <w:t xml:space="preserve">כלומר, העובדה שהפסיקה הישראלית מכירה בחיוב חוזי שנובע ממערכת יחסים </w:t>
      </w:r>
      <w:r w:rsidR="003F1FA1" w:rsidRPr="00FB4764">
        <w:rPr>
          <w:rFonts w:ascii="Arial" w:hAnsi="Arial" w:hint="cs"/>
          <w:b/>
          <w:bCs/>
          <w:noProof w:val="0"/>
          <w:rtl/>
        </w:rPr>
        <w:t>בין בני הזוג ו</w:t>
      </w:r>
      <w:r w:rsidR="003D2759">
        <w:rPr>
          <w:rFonts w:ascii="Arial" w:hAnsi="Arial" w:hint="cs"/>
          <w:b/>
          <w:bCs/>
          <w:noProof w:val="0"/>
          <w:rtl/>
        </w:rPr>
        <w:t xml:space="preserve">שיקולי </w:t>
      </w:r>
      <w:r w:rsidR="003F1FA1" w:rsidRPr="00FB4764">
        <w:rPr>
          <w:rFonts w:ascii="Arial" w:hAnsi="Arial" w:hint="cs"/>
          <w:b/>
          <w:bCs/>
          <w:noProof w:val="0"/>
          <w:rtl/>
        </w:rPr>
        <w:t xml:space="preserve">הסתמכות </w:t>
      </w:r>
      <w:r w:rsidR="004D225A" w:rsidRPr="00FB4764">
        <w:rPr>
          <w:rFonts w:ascii="Arial" w:hAnsi="Arial" w:hint="cs"/>
          <w:b/>
          <w:bCs/>
          <w:noProof w:val="0"/>
          <w:rtl/>
        </w:rPr>
        <w:t xml:space="preserve">אינה מובילה </w:t>
      </w:r>
      <w:r w:rsidR="003F1FA1" w:rsidRPr="00FB4764">
        <w:rPr>
          <w:rFonts w:ascii="Arial" w:hAnsi="Arial" w:hint="cs"/>
          <w:b/>
          <w:bCs/>
          <w:noProof w:val="0"/>
          <w:rtl/>
        </w:rPr>
        <w:t xml:space="preserve">להכרה </w:t>
      </w:r>
      <w:r w:rsidR="004D225A" w:rsidRPr="00FB4764">
        <w:rPr>
          <w:rFonts w:ascii="Arial" w:hAnsi="Arial" w:hint="cs"/>
          <w:b/>
          <w:bCs/>
          <w:noProof w:val="0"/>
          <w:rtl/>
        </w:rPr>
        <w:t>בסטטוס</w:t>
      </w:r>
      <w:r w:rsidR="003F1FA1" w:rsidRPr="00FB4764">
        <w:rPr>
          <w:rFonts w:ascii="Arial" w:hAnsi="Arial" w:hint="cs"/>
          <w:b/>
          <w:bCs/>
          <w:noProof w:val="0"/>
          <w:rtl/>
        </w:rPr>
        <w:t xml:space="preserve"> של בן הזוג של ההורה הביולוגי</w:t>
      </w:r>
      <w:r w:rsidR="004D225A" w:rsidRPr="00FB4764">
        <w:rPr>
          <w:rFonts w:ascii="Arial" w:hAnsi="Arial" w:hint="cs"/>
          <w:b/>
          <w:bCs/>
          <w:noProof w:val="0"/>
          <w:rtl/>
        </w:rPr>
        <w:t xml:space="preserve"> כהורה לקטין</w:t>
      </w:r>
      <w:r w:rsidR="003F1FA1">
        <w:rPr>
          <w:rFonts w:ascii="Arial" w:hAnsi="Arial" w:hint="cs"/>
          <w:noProof w:val="0"/>
          <w:rtl/>
        </w:rPr>
        <w:t xml:space="preserve">. </w:t>
      </w:r>
    </w:p>
    <w:p w:rsidR="00B22A1E" w:rsidRPr="00B22A1E" w:rsidRDefault="003F1FA1" w:rsidP="003F1FA1">
      <w:pPr>
        <w:pStyle w:val="ad"/>
        <w:spacing w:after="120" w:line="360" w:lineRule="auto"/>
        <w:ind w:left="567"/>
        <w:contextualSpacing w:val="0"/>
        <w:jc w:val="both"/>
        <w:rPr>
          <w:rFonts w:ascii="Arial" w:hAnsi="Arial"/>
          <w:noProof w:val="0"/>
        </w:rPr>
      </w:pPr>
      <w:r>
        <w:rPr>
          <w:rFonts w:ascii="Arial" w:hAnsi="Arial" w:hint="cs"/>
          <w:noProof w:val="0"/>
          <w:rtl/>
        </w:rPr>
        <w:t xml:space="preserve">(לחיוב בהסדרת המעמד </w:t>
      </w:r>
      <w:r w:rsidR="004D225A">
        <w:rPr>
          <w:rFonts w:ascii="Arial" w:hAnsi="Arial" w:hint="cs"/>
          <w:noProof w:val="0"/>
          <w:rtl/>
        </w:rPr>
        <w:t xml:space="preserve">על פי הדין </w:t>
      </w:r>
      <w:r>
        <w:rPr>
          <w:rFonts w:ascii="Arial" w:hAnsi="Arial" w:hint="cs"/>
          <w:noProof w:val="0"/>
          <w:rtl/>
        </w:rPr>
        <w:t xml:space="preserve">והקושי במסלולים הקיימים כעת ראו למשל - </w:t>
      </w:r>
      <w:r w:rsidR="00B22A1E" w:rsidRPr="00B22A1E">
        <w:rPr>
          <w:rFonts w:ascii="Arial" w:hAnsi="Arial"/>
          <w:noProof w:val="0"/>
          <w:rtl/>
        </w:rPr>
        <w:t>תמ"ש (תל אביב) 26729-03-19 מ</w:t>
      </w:r>
      <w:r w:rsidR="00B22A1E" w:rsidRPr="00B22A1E">
        <w:rPr>
          <w:rFonts w:ascii="Arial" w:hAnsi="Arial"/>
          <w:b/>
          <w:bCs/>
          <w:noProof w:val="0"/>
          <w:rtl/>
        </w:rPr>
        <w:t>.ר נ' היועץ המשפטי לממשלה</w:t>
      </w:r>
      <w:r>
        <w:rPr>
          <w:rFonts w:ascii="Arial" w:hAnsi="Arial" w:hint="cs"/>
          <w:noProof w:val="0"/>
          <w:rtl/>
        </w:rPr>
        <w:t xml:space="preserve"> (21.3.2021) ו</w:t>
      </w:r>
      <w:r w:rsidR="00B22A1E" w:rsidRPr="00B22A1E">
        <w:rPr>
          <w:rFonts w:ascii="Arial" w:hAnsi="Arial"/>
          <w:noProof w:val="0"/>
          <w:rtl/>
        </w:rPr>
        <w:t>תמ"ש (תל אביב-יפו) 16260-08-17 </w:t>
      </w:r>
      <w:r w:rsidRPr="003F1FA1">
        <w:rPr>
          <w:rFonts w:ascii="Arial" w:hAnsi="Arial" w:hint="cs"/>
          <w:noProof w:val="0"/>
          <w:rtl/>
        </w:rPr>
        <w:t xml:space="preserve">וכן </w:t>
      </w:r>
      <w:r w:rsidR="00B22A1E" w:rsidRPr="003F1FA1">
        <w:rPr>
          <w:rFonts w:ascii="Arial" w:hAnsi="Arial"/>
          <w:b/>
          <w:bCs/>
          <w:noProof w:val="0"/>
          <w:rtl/>
        </w:rPr>
        <w:t>ט.ב</w:t>
      </w:r>
      <w:r w:rsidRPr="003F1FA1">
        <w:rPr>
          <w:rFonts w:ascii="Arial" w:hAnsi="Arial" w:hint="cs"/>
          <w:b/>
          <w:bCs/>
          <w:noProof w:val="0"/>
          <w:rtl/>
        </w:rPr>
        <w:t xml:space="preserve"> נ' </w:t>
      </w:r>
      <w:r w:rsidR="00B22A1E" w:rsidRPr="003F1FA1">
        <w:rPr>
          <w:rFonts w:ascii="Arial" w:hAnsi="Arial"/>
          <w:b/>
          <w:bCs/>
          <w:noProof w:val="0"/>
          <w:rtl/>
        </w:rPr>
        <w:t>היועץ המשפטי לממשלה</w:t>
      </w:r>
      <w:r w:rsidR="00B22A1E" w:rsidRPr="00B22A1E">
        <w:rPr>
          <w:rFonts w:ascii="Arial" w:hAnsi="Arial"/>
          <w:noProof w:val="0"/>
          <w:rtl/>
        </w:rPr>
        <w:t>, משרדי ממשלה</w:t>
      </w:r>
      <w:r w:rsidR="00B22A1E">
        <w:rPr>
          <w:rFonts w:ascii="Arial" w:hAnsi="Arial" w:hint="cs"/>
          <w:noProof w:val="0"/>
          <w:rtl/>
        </w:rPr>
        <w:t xml:space="preserve"> (9.6.2018)</w:t>
      </w:r>
      <w:r>
        <w:rPr>
          <w:rFonts w:ascii="Arial" w:hAnsi="Arial" w:hint="cs"/>
          <w:noProof w:val="0"/>
          <w:rtl/>
        </w:rPr>
        <w:t>).</w:t>
      </w:r>
    </w:p>
    <w:p w:rsidR="00FB4764" w:rsidRPr="00FB4764" w:rsidRDefault="004D288C" w:rsidP="00FB4764">
      <w:pPr>
        <w:pStyle w:val="ad"/>
        <w:numPr>
          <w:ilvl w:val="0"/>
          <w:numId w:val="1"/>
        </w:numPr>
        <w:spacing w:after="120" w:line="360" w:lineRule="auto"/>
        <w:ind w:left="567" w:hanging="567"/>
        <w:contextualSpacing w:val="0"/>
        <w:jc w:val="both"/>
        <w:rPr>
          <w:rFonts w:ascii="Arial" w:hAnsi="Arial"/>
          <w:noProof w:val="0"/>
        </w:rPr>
      </w:pPr>
      <w:r w:rsidRPr="003D2759">
        <w:rPr>
          <w:rFonts w:ascii="Arial" w:hAnsi="Arial" w:hint="cs"/>
          <w:b/>
          <w:bCs/>
          <w:noProof w:val="0"/>
          <w:rtl/>
        </w:rPr>
        <w:t>בלכר והקר</w:t>
      </w:r>
      <w:r>
        <w:rPr>
          <w:rFonts w:ascii="Arial" w:hAnsi="Arial" w:hint="cs"/>
          <w:noProof w:val="0"/>
          <w:rtl/>
        </w:rPr>
        <w:t xml:space="preserve"> </w:t>
      </w:r>
      <w:r w:rsidR="00AA5905" w:rsidRPr="00AA5905">
        <w:rPr>
          <w:rFonts w:ascii="Arial" w:hAnsi="Arial" w:hint="cs"/>
          <w:noProof w:val="0"/>
          <w:rtl/>
        </w:rPr>
        <w:t>מסבירות, כי המחוקק הישראל</w:t>
      </w:r>
      <w:r w:rsidR="00AA5905">
        <w:rPr>
          <w:rFonts w:ascii="Arial" w:hAnsi="Arial" w:hint="cs"/>
          <w:noProof w:val="0"/>
          <w:rtl/>
        </w:rPr>
        <w:t>י</w:t>
      </w:r>
      <w:r w:rsidR="00AA5905" w:rsidRPr="00AA5905">
        <w:rPr>
          <w:rFonts w:ascii="Arial" w:hAnsi="Arial" w:hint="cs"/>
          <w:noProof w:val="0"/>
          <w:rtl/>
        </w:rPr>
        <w:t xml:space="preserve"> הפריד בין התייחסות לבני זוג של הורים בכל הנוגע למזונות, אחריות פלילית למעשי הקטין והטבות סוציאליות ובין העדר התייחסות (עד כדי</w:t>
      </w:r>
      <w:r w:rsidR="00FB4764">
        <w:rPr>
          <w:rFonts w:ascii="Arial" w:hAnsi="Arial" w:hint="cs"/>
          <w:noProof w:val="0"/>
          <w:rtl/>
        </w:rPr>
        <w:t xml:space="preserve"> התייחסות כאל</w:t>
      </w:r>
      <w:r w:rsidR="00AA5905" w:rsidRPr="00AA5905">
        <w:rPr>
          <w:rFonts w:ascii="Arial" w:hAnsi="Arial" w:hint="cs"/>
          <w:noProof w:val="0"/>
          <w:rtl/>
        </w:rPr>
        <w:t xml:space="preserve"> זרים מוחלטים) בכל הנוגע ל</w:t>
      </w:r>
      <w:r w:rsidR="00AA5905" w:rsidRPr="00AA5905">
        <w:rPr>
          <w:rFonts w:hint="cs"/>
          <w:rtl/>
        </w:rPr>
        <w:t>אפוטרופסות</w:t>
      </w:r>
      <w:r w:rsidR="007D5110" w:rsidRPr="00AA5905">
        <w:rPr>
          <w:rtl/>
        </w:rPr>
        <w:t>, למשמורת, להסדרי ראייה ולירושה</w:t>
      </w:r>
      <w:r w:rsidR="00FB4764">
        <w:rPr>
          <w:rFonts w:hint="cs"/>
          <w:rtl/>
        </w:rPr>
        <w:t>.</w:t>
      </w:r>
      <w:r w:rsidR="00095548">
        <w:rPr>
          <w:rFonts w:hint="cs"/>
          <w:rtl/>
        </w:rPr>
        <w:t xml:space="preserve"> </w:t>
      </w:r>
    </w:p>
    <w:p w:rsidR="007D5110" w:rsidRPr="00AA5905" w:rsidRDefault="00833822" w:rsidP="00833822">
      <w:pPr>
        <w:pStyle w:val="ad"/>
        <w:spacing w:after="120" w:line="360" w:lineRule="auto"/>
        <w:ind w:left="567"/>
        <w:contextualSpacing w:val="0"/>
        <w:jc w:val="both"/>
        <w:rPr>
          <w:rFonts w:ascii="Arial" w:hAnsi="Arial"/>
          <w:noProof w:val="0"/>
        </w:rPr>
      </w:pPr>
      <w:r w:rsidRPr="00833822">
        <w:rPr>
          <w:rFonts w:hint="cs"/>
          <w:rtl/>
        </w:rPr>
        <w:t>בדומה</w:t>
      </w:r>
      <w:r>
        <w:rPr>
          <w:rFonts w:hint="cs"/>
          <w:b/>
          <w:bCs/>
          <w:rtl/>
        </w:rPr>
        <w:t xml:space="preserve"> </w:t>
      </w:r>
      <w:r>
        <w:rPr>
          <w:rFonts w:hint="cs"/>
          <w:rtl/>
        </w:rPr>
        <w:t xml:space="preserve">מסביר </w:t>
      </w:r>
      <w:r w:rsidR="00A1114B" w:rsidRPr="003D2759">
        <w:rPr>
          <w:rFonts w:hint="cs"/>
          <w:b/>
          <w:bCs/>
          <w:rtl/>
        </w:rPr>
        <w:t>שמגר</w:t>
      </w:r>
      <w:r w:rsidR="00095548">
        <w:rPr>
          <w:rFonts w:hint="cs"/>
          <w:rtl/>
        </w:rPr>
        <w:t>, כי "</w:t>
      </w:r>
      <w:r w:rsidR="00095548">
        <w:rPr>
          <w:rFonts w:hint="cs"/>
          <w:b/>
          <w:bCs/>
          <w:rtl/>
        </w:rPr>
        <w:t xml:space="preserve">נכונותו של הבעל להפריה על ידי אחר אינה הופכת את הבעל באמת לאב ביולוגי" </w:t>
      </w:r>
      <w:r w:rsidR="00095548">
        <w:rPr>
          <w:rFonts w:hint="cs"/>
          <w:rtl/>
        </w:rPr>
        <w:t>(עמ' 370)</w:t>
      </w:r>
      <w:r w:rsidR="001D7E01">
        <w:rPr>
          <w:rFonts w:ascii="Arial" w:hAnsi="Arial" w:hint="cs"/>
          <w:noProof w:val="0"/>
          <w:rtl/>
        </w:rPr>
        <w:t>.</w:t>
      </w:r>
    </w:p>
    <w:p w:rsidR="001D7E01" w:rsidRDefault="001D7E01" w:rsidP="001D7E01">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כלומר, העובדה שהמנוח חויב בנשיאה בצרכי הקטין אינה קובעת את הורותו על הקטין ואינה יכולה להכניס את מערכת היחסים בין המנוח לקטין תחת הגדרת קביעת ירושה על פי דין מאב לבנו.</w:t>
      </w:r>
    </w:p>
    <w:p w:rsidR="00833822" w:rsidRDefault="00AE64A9" w:rsidP="00AE64A9">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אעיר, כי לא נעלמה מעיני ההתייחסות של בית המשפט העליון למנוח ולאֵם כבני זוג אשר החליטו להביא לעולם ילד משותף ולהתייחסות של בית המשפט העליון לקטין כאל "בנם המשותף" (בע"מ 4738/13 </w:t>
      </w:r>
      <w:r>
        <w:rPr>
          <w:rFonts w:ascii="Arial" w:hAnsi="Arial" w:hint="cs"/>
          <w:b/>
          <w:bCs/>
          <w:noProof w:val="0"/>
          <w:rtl/>
        </w:rPr>
        <w:t xml:space="preserve">פלוני נ' פלונית </w:t>
      </w:r>
      <w:r>
        <w:rPr>
          <w:rFonts w:ascii="Arial" w:hAnsi="Arial" w:hint="cs"/>
          <w:noProof w:val="0"/>
          <w:rtl/>
        </w:rPr>
        <w:t>(3.9.2013))</w:t>
      </w:r>
      <w:r w:rsidR="00833822">
        <w:rPr>
          <w:rFonts w:ascii="Arial" w:hAnsi="Arial" w:hint="cs"/>
          <w:noProof w:val="0"/>
          <w:rtl/>
        </w:rPr>
        <w:t>;</w:t>
      </w:r>
      <w:r>
        <w:rPr>
          <w:rFonts w:ascii="Arial" w:hAnsi="Arial" w:hint="cs"/>
          <w:noProof w:val="0"/>
          <w:rtl/>
        </w:rPr>
        <w:t xml:space="preserve"> אולם הסוגיה כלל לא עמדה להכרעה בפני בית המשפט העליון וההתייחסות היתה בהקשר של היכולת לחייב בגילוי מסמכים מכח מערכת היחסים לכאורה ולהיקף סמכותו של בית המשפט לענייני משפחה. </w:t>
      </w:r>
    </w:p>
    <w:p w:rsidR="006B739C" w:rsidRDefault="00AE64A9" w:rsidP="00833822">
      <w:pPr>
        <w:pStyle w:val="ad"/>
        <w:spacing w:after="120" w:line="360" w:lineRule="auto"/>
        <w:ind w:left="567"/>
        <w:contextualSpacing w:val="0"/>
        <w:jc w:val="both"/>
        <w:rPr>
          <w:rFonts w:ascii="Arial" w:hAnsi="Arial"/>
          <w:noProof w:val="0"/>
        </w:rPr>
      </w:pPr>
      <w:r>
        <w:rPr>
          <w:rFonts w:ascii="Arial" w:hAnsi="Arial" w:hint="cs"/>
          <w:noProof w:val="0"/>
          <w:rtl/>
        </w:rPr>
        <w:t xml:space="preserve">סוגיית מעמדו של המנוח כלפי הקטין לא עלתה לדיון </w:t>
      </w:r>
      <w:r w:rsidR="00833822">
        <w:rPr>
          <w:rFonts w:ascii="Arial" w:hAnsi="Arial" w:hint="cs"/>
          <w:noProof w:val="0"/>
          <w:rtl/>
        </w:rPr>
        <w:t xml:space="preserve">בהליך שהגיע לדיון בבית המשפט העליון </w:t>
      </w:r>
      <w:r>
        <w:rPr>
          <w:rFonts w:ascii="Arial" w:hAnsi="Arial" w:hint="cs"/>
          <w:noProof w:val="0"/>
          <w:rtl/>
        </w:rPr>
        <w:t xml:space="preserve">ואיני סבורה שניתן להתייחס לסקירת העובדות לכאורה כאל קביעה מחייבת. </w:t>
      </w:r>
    </w:p>
    <w:p w:rsidR="003D2759" w:rsidRDefault="003D2759" w:rsidP="00AE64A9">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על כן, איני מקבלת את טענת הקטין, כי ניתן להסתמך על פסק הדין בתביעת המזונות אשר חייב את המנוח במזונותיו כדי לגרור מסקנה בדבר היותו "ילד" של המנוח במובנו של חוק הירושה. </w:t>
      </w:r>
    </w:p>
    <w:p w:rsidR="004D288C" w:rsidRDefault="0090248E" w:rsidP="003D2759">
      <w:pPr>
        <w:pStyle w:val="ad"/>
        <w:numPr>
          <w:ilvl w:val="0"/>
          <w:numId w:val="2"/>
        </w:numPr>
        <w:spacing w:after="120" w:line="360" w:lineRule="auto"/>
        <w:ind w:left="567" w:hanging="567"/>
        <w:contextualSpacing w:val="0"/>
        <w:jc w:val="both"/>
        <w:rPr>
          <w:rFonts w:ascii="Arial" w:hAnsi="Arial"/>
          <w:noProof w:val="0"/>
        </w:rPr>
      </w:pPr>
      <w:r>
        <w:rPr>
          <w:rFonts w:ascii="Arial" w:hAnsi="Arial" w:hint="cs"/>
          <w:b/>
          <w:bCs/>
          <w:noProof w:val="0"/>
          <w:u w:val="single"/>
          <w:rtl/>
        </w:rPr>
        <w:t>האם ניתן להסתמך על התחייבות המנוח במסגרת הסכם ה</w:t>
      </w:r>
      <w:r w:rsidR="00D64A38">
        <w:rPr>
          <w:rFonts w:ascii="Arial" w:hAnsi="Arial" w:hint="cs"/>
          <w:b/>
          <w:bCs/>
          <w:noProof w:val="0"/>
          <w:u w:val="single"/>
          <w:rtl/>
        </w:rPr>
        <w:t>זוגיות, על הוראות חוזר המנהל הכללי</w:t>
      </w:r>
      <w:r>
        <w:rPr>
          <w:rFonts w:ascii="Arial" w:hAnsi="Arial" w:hint="cs"/>
          <w:b/>
          <w:bCs/>
          <w:noProof w:val="0"/>
          <w:u w:val="single"/>
          <w:rtl/>
        </w:rPr>
        <w:t xml:space="preserve"> ועל החתימה על טופס ההסכמה להשבת העוברים כדי לקבוע מעמדו כאביו של הקטין?</w:t>
      </w:r>
    </w:p>
    <w:p w:rsidR="00D64A38" w:rsidRDefault="00D64A38" w:rsidP="00D64A38">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לטענת הקטין פעולות שביצעו האֵם והמנוח טרם לידת הקטין מלמדות על כינון הורות. לטענתו, ניתן להסתמך על הוראות הסכם הזוגיות, הוראות חוזר המנהל הכללי והחתימה המשותפת על מסמכי ההליך כדי לקבוע כי המנוח אביו של הקטין. </w:t>
      </w:r>
    </w:p>
    <w:p w:rsidR="00D64A38" w:rsidRDefault="00D64A38" w:rsidP="00D64A38">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8.11.2007 פורסם הנוהל של בנק הזרע והנחיות לביצוע הזרעה מלאכותית (חוזר מנכ"ל משרד הבריאות מספר 20/7; </w:t>
      </w:r>
      <w:r>
        <w:rPr>
          <w:rFonts w:ascii="Arial" w:hAnsi="Arial" w:hint="cs"/>
          <w:b/>
          <w:bCs/>
          <w:noProof w:val="0"/>
          <w:rtl/>
        </w:rPr>
        <w:t>"הנוהל"</w:t>
      </w:r>
      <w:r>
        <w:rPr>
          <w:rFonts w:ascii="Arial" w:hAnsi="Arial" w:hint="cs"/>
          <w:noProof w:val="0"/>
          <w:rtl/>
        </w:rPr>
        <w:t>).</w:t>
      </w:r>
    </w:p>
    <w:p w:rsidR="00CF6827" w:rsidRDefault="00D64A38" w:rsidP="00D64A38">
      <w:pPr>
        <w:pStyle w:val="ad"/>
        <w:spacing w:after="120" w:line="360" w:lineRule="auto"/>
        <w:ind w:left="567"/>
        <w:contextualSpacing w:val="0"/>
        <w:jc w:val="both"/>
        <w:rPr>
          <w:rFonts w:ascii="Arial" w:hAnsi="Arial"/>
          <w:noProof w:val="0"/>
          <w:rtl/>
        </w:rPr>
      </w:pPr>
      <w:r>
        <w:rPr>
          <w:rFonts w:ascii="Arial" w:hAnsi="Arial" w:hint="cs"/>
          <w:noProof w:val="0"/>
          <w:rtl/>
        </w:rPr>
        <w:t>הנוהל קובע, בין היתר, כ</w:t>
      </w:r>
      <w:r w:rsidR="00CF6827">
        <w:rPr>
          <w:rFonts w:ascii="Arial" w:hAnsi="Arial" w:hint="cs"/>
          <w:noProof w:val="0"/>
          <w:rtl/>
        </w:rPr>
        <w:t>ך:</w:t>
      </w:r>
    </w:p>
    <w:p w:rsidR="00CF6827" w:rsidRPr="00CF6827" w:rsidRDefault="00CF6827" w:rsidP="00CF6827">
      <w:pPr>
        <w:pStyle w:val="ad"/>
        <w:spacing w:after="120" w:line="360" w:lineRule="auto"/>
        <w:ind w:left="1134" w:right="567"/>
        <w:contextualSpacing w:val="0"/>
        <w:jc w:val="both"/>
        <w:rPr>
          <w:rFonts w:ascii="Arial" w:hAnsi="Arial"/>
          <w:b/>
          <w:bCs/>
          <w:noProof w:val="0"/>
          <w:rtl/>
        </w:rPr>
      </w:pPr>
      <w:r w:rsidRPr="00CF6827">
        <w:rPr>
          <w:rFonts w:ascii="Arial" w:hAnsi="Arial" w:hint="cs"/>
          <w:b/>
          <w:bCs/>
          <w:noProof w:val="0"/>
          <w:rtl/>
        </w:rPr>
        <w:t xml:space="preserve">"במקרה של הזרעה מלאכותית עם זרע של תורם, יש צורך בקבלת הסכמת האישה ובן זוגה בכתב לביצוע ההזרעה המלאכותית וכן בהצהרת בן הזוג כי הילד שייולד ייחשב לכל דבר כאילו הוא ילדו הטבעי, לרבות לענין מזונות וירושה וישא את שם משפחתו". </w:t>
      </w:r>
    </w:p>
    <w:p w:rsidR="00CF6827" w:rsidRDefault="00CF6827" w:rsidP="00833822">
      <w:pPr>
        <w:pStyle w:val="ad"/>
        <w:spacing w:after="120" w:line="360" w:lineRule="auto"/>
        <w:ind w:left="567"/>
        <w:contextualSpacing w:val="0"/>
        <w:jc w:val="both"/>
        <w:rPr>
          <w:rFonts w:ascii="Arial" w:hAnsi="Arial"/>
          <w:noProof w:val="0"/>
        </w:rPr>
      </w:pPr>
      <w:r>
        <w:rPr>
          <w:rFonts w:ascii="Arial" w:hAnsi="Arial" w:hint="cs"/>
          <w:noProof w:val="0"/>
          <w:rtl/>
        </w:rPr>
        <w:t xml:space="preserve">הצדדים אישרו הסכמתם לנוהל וחתמו על "טופס הסכמה". </w:t>
      </w:r>
    </w:p>
    <w:p w:rsidR="00CF6827" w:rsidRDefault="00CF6827" w:rsidP="00D8130D">
      <w:pPr>
        <w:pStyle w:val="ad"/>
        <w:numPr>
          <w:ilvl w:val="0"/>
          <w:numId w:val="1"/>
        </w:numPr>
        <w:spacing w:after="120" w:line="360" w:lineRule="auto"/>
        <w:ind w:left="567" w:hanging="567"/>
        <w:contextualSpacing w:val="0"/>
        <w:jc w:val="both"/>
        <w:rPr>
          <w:rFonts w:ascii="Arial" w:hAnsi="Arial"/>
          <w:noProof w:val="0"/>
        </w:rPr>
      </w:pPr>
      <w:r w:rsidRPr="009556E7">
        <w:rPr>
          <w:rFonts w:ascii="Arial" w:hAnsi="Arial" w:hint="cs"/>
          <w:noProof w:val="0"/>
          <w:rtl/>
        </w:rPr>
        <w:t xml:space="preserve">האם יש בהסכמת המנוח לראות בקטין כילדו הטבעי לרבות בענייני ירושה כדי לקבוע זכות ירושה על פי דין? התשובה לכך שלילית. </w:t>
      </w:r>
    </w:p>
    <w:p w:rsidR="003D2759" w:rsidRPr="009556E7" w:rsidRDefault="003D2759" w:rsidP="003D2759">
      <w:pPr>
        <w:pStyle w:val="ad"/>
        <w:spacing w:after="120" w:line="360" w:lineRule="auto"/>
        <w:ind w:left="567"/>
        <w:contextualSpacing w:val="0"/>
        <w:jc w:val="both"/>
        <w:rPr>
          <w:rFonts w:ascii="Arial" w:hAnsi="Arial"/>
          <w:noProof w:val="0"/>
        </w:rPr>
      </w:pPr>
      <w:r>
        <w:rPr>
          <w:rFonts w:ascii="Arial" w:hAnsi="Arial" w:hint="cs"/>
          <w:noProof w:val="0"/>
          <w:rtl/>
        </w:rPr>
        <w:t>אסביר:</w:t>
      </w:r>
    </w:p>
    <w:p w:rsidR="00CB417C" w:rsidRPr="00CB417C" w:rsidRDefault="00DC537A" w:rsidP="00CB417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w:t>
      </w:r>
      <w:r w:rsidR="005D7F0A">
        <w:rPr>
          <w:rFonts w:ascii="Arial" w:hAnsi="Arial" w:hint="cs"/>
          <w:noProof w:val="0"/>
          <w:rtl/>
        </w:rPr>
        <w:t xml:space="preserve">ליך ההולדה באמצעות תרומת זרע טרם עוגן בחקיקה (ראו </w:t>
      </w:r>
      <w:r>
        <w:rPr>
          <w:rFonts w:ascii="Arial" w:hAnsi="Arial"/>
          <w:noProof w:val="0"/>
          <w:rtl/>
        </w:rPr>
        <w:t>בע</w:t>
      </w:r>
      <w:r w:rsidR="005D7F0A">
        <w:rPr>
          <w:rFonts w:ascii="Arial" w:hAnsi="Arial" w:hint="cs"/>
          <w:noProof w:val="0"/>
          <w:rtl/>
        </w:rPr>
        <w:t>"</w:t>
      </w:r>
      <w:r>
        <w:rPr>
          <w:rFonts w:ascii="Arial" w:hAnsi="Arial"/>
          <w:noProof w:val="0"/>
          <w:rtl/>
        </w:rPr>
        <w:t xml:space="preserve">מ 1118/14 </w:t>
      </w:r>
      <w:r w:rsidR="00F033BA" w:rsidRPr="00CB417C">
        <w:rPr>
          <w:rFonts w:ascii="Arial" w:hAnsi="Arial"/>
          <w:b/>
          <w:bCs/>
          <w:noProof w:val="0"/>
          <w:rtl/>
        </w:rPr>
        <w:t>פלונית נ' משרד הרווחה והשירותים החברתיים</w:t>
      </w:r>
      <w:r w:rsidR="00F033BA">
        <w:rPr>
          <w:rFonts w:ascii="Arial" w:hAnsi="Arial" w:hint="cs"/>
          <w:noProof w:val="0"/>
          <w:rtl/>
        </w:rPr>
        <w:t xml:space="preserve"> (1.4.2015)</w:t>
      </w:r>
      <w:r w:rsidR="00CB417C">
        <w:rPr>
          <w:rFonts w:ascii="Arial" w:hAnsi="Arial" w:hint="cs"/>
          <w:noProof w:val="0"/>
          <w:rtl/>
        </w:rPr>
        <w:t xml:space="preserve"> ו</w:t>
      </w:r>
      <w:r w:rsidR="00CB417C" w:rsidRPr="00CB417C">
        <w:rPr>
          <w:rFonts w:ascii="Arial" w:hAnsi="Arial"/>
          <w:noProof w:val="0"/>
          <w:rtl/>
        </w:rPr>
        <w:t>דנ"א 1297-20 </w:t>
      </w:r>
      <w:r w:rsidR="00CB417C" w:rsidRPr="00CB417C">
        <w:rPr>
          <w:rFonts w:ascii="Arial" w:hAnsi="Arial"/>
          <w:b/>
          <w:bCs/>
          <w:noProof w:val="0"/>
          <w:rtl/>
        </w:rPr>
        <w:t>פלונ</w:t>
      </w:r>
      <w:r w:rsidR="00CB417C" w:rsidRPr="00CB417C">
        <w:rPr>
          <w:rFonts w:ascii="Arial" w:hAnsi="Arial" w:hint="cs"/>
          <w:b/>
          <w:bCs/>
          <w:noProof w:val="0"/>
          <w:rtl/>
        </w:rPr>
        <w:t>י נ'</w:t>
      </w:r>
      <w:r w:rsidR="00CB417C" w:rsidRPr="00CB417C">
        <w:rPr>
          <w:rFonts w:ascii="Arial" w:hAnsi="Arial"/>
          <w:b/>
          <w:bCs/>
          <w:noProof w:val="0"/>
        </w:rPr>
        <w:t> </w:t>
      </w:r>
      <w:r w:rsidR="00CB417C" w:rsidRPr="00CB417C">
        <w:rPr>
          <w:rFonts w:ascii="Arial" w:hAnsi="Arial"/>
          <w:b/>
          <w:bCs/>
          <w:noProof w:val="0"/>
          <w:rtl/>
        </w:rPr>
        <w:t>היועץ המשפטי לממשלה</w:t>
      </w:r>
      <w:r w:rsidR="00CB417C">
        <w:rPr>
          <w:rFonts w:ascii="Arial" w:hAnsi="Arial" w:hint="cs"/>
          <w:noProof w:val="0"/>
          <w:rtl/>
        </w:rPr>
        <w:t xml:space="preserve"> (25.7.2022; </w:t>
      </w:r>
      <w:r w:rsidR="00CB417C">
        <w:rPr>
          <w:rFonts w:ascii="Arial" w:hAnsi="Arial" w:hint="cs"/>
          <w:b/>
          <w:bCs/>
          <w:noProof w:val="0"/>
          <w:rtl/>
        </w:rPr>
        <w:t>"ענין פלוני"</w:t>
      </w:r>
      <w:r w:rsidR="00074009">
        <w:rPr>
          <w:rFonts w:ascii="Arial" w:hAnsi="Arial" w:hint="cs"/>
          <w:noProof w:val="0"/>
          <w:rtl/>
        </w:rPr>
        <w:t xml:space="preserve">) והדברים מוסדרים, בשלב זה, בחקיקת משנה ובנוהל. </w:t>
      </w:r>
    </w:p>
    <w:p w:rsidR="007236C0" w:rsidRDefault="00074009" w:rsidP="00833822">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יש קושי לקבל את הטענה, כי הליך רפואי המוסדר באמצעות חקיקת משנה והתחייבות על פי נוהל פנימי תגבר על הוראות חוק </w:t>
      </w:r>
      <w:r w:rsidR="00833822">
        <w:rPr>
          <w:rFonts w:ascii="Arial" w:hAnsi="Arial" w:hint="cs"/>
          <w:noProof w:val="0"/>
          <w:rtl/>
        </w:rPr>
        <w:t>בעלות פרשנות ברורה. כך,</w:t>
      </w:r>
      <w:r>
        <w:rPr>
          <w:rFonts w:ascii="Arial" w:hAnsi="Arial" w:hint="cs"/>
          <w:noProof w:val="0"/>
          <w:rtl/>
        </w:rPr>
        <w:t xml:space="preserve"> </w:t>
      </w:r>
      <w:r w:rsidR="007236C0">
        <w:rPr>
          <w:rFonts w:ascii="Arial" w:hAnsi="Arial" w:hint="cs"/>
          <w:noProof w:val="0"/>
          <w:rtl/>
        </w:rPr>
        <w:t>איני סבורה כי ניתן לקבל טענה, כי שעה שילד אינו נחשב כבנו של בן זוגה של הנתרמת על פי החוק הקיים</w:t>
      </w:r>
      <w:r w:rsidR="005D7F0A">
        <w:rPr>
          <w:rFonts w:ascii="Arial" w:hAnsi="Arial" w:hint="cs"/>
          <w:noProof w:val="0"/>
          <w:rtl/>
        </w:rPr>
        <w:t xml:space="preserve"> </w:t>
      </w:r>
      <w:r w:rsidR="007236C0">
        <w:rPr>
          <w:rFonts w:ascii="Arial" w:hAnsi="Arial" w:hint="cs"/>
          <w:noProof w:val="0"/>
          <w:rtl/>
        </w:rPr>
        <w:t xml:space="preserve">ניתן לקבוע הורות על יסוד הסכמתו של בן הזוג להיות כאב. </w:t>
      </w:r>
    </w:p>
    <w:p w:rsidR="00A60313" w:rsidRDefault="007236C0" w:rsidP="00FD4C34">
      <w:pPr>
        <w:pStyle w:val="ad"/>
        <w:spacing w:after="120" w:line="360" w:lineRule="auto"/>
        <w:ind w:left="567"/>
        <w:contextualSpacing w:val="0"/>
        <w:jc w:val="both"/>
        <w:rPr>
          <w:rFonts w:ascii="Arial" w:hAnsi="Arial"/>
          <w:noProof w:val="0"/>
          <w:rtl/>
        </w:rPr>
      </w:pPr>
      <w:r>
        <w:rPr>
          <w:rFonts w:ascii="Arial" w:hAnsi="Arial" w:hint="cs"/>
          <w:noProof w:val="0"/>
          <w:rtl/>
        </w:rPr>
        <w:t>לא יתכן ש</w:t>
      </w:r>
      <w:r w:rsidR="005D7F0A">
        <w:rPr>
          <w:rFonts w:ascii="Arial" w:hAnsi="Arial" w:hint="cs"/>
          <w:noProof w:val="0"/>
          <w:rtl/>
        </w:rPr>
        <w:t>חתימה על כתב הסכמה תקבע סטטוס של הורות שעה שלא קיים מסלול קביעת הורות כזו בדין</w:t>
      </w:r>
      <w:r w:rsidR="00A60313">
        <w:rPr>
          <w:rFonts w:ascii="Arial" w:hAnsi="Arial" w:hint="cs"/>
          <w:noProof w:val="0"/>
          <w:rtl/>
        </w:rPr>
        <w:t xml:space="preserve"> ולא יתכן שפרקטיקה שאינה מוסדרת בחקיקה ראשית תפקיע אבהות מההורה הגנטי ותקנה אותה לאדם אחר על יסוד הזיקה לאֵם מבלי שהדבר נקבע כמסלול קובע הורות </w:t>
      </w:r>
      <w:r w:rsidR="00A60313">
        <w:rPr>
          <w:rFonts w:ascii="Arial" w:hAnsi="Arial" w:hint="cs"/>
          <w:noProof w:val="0"/>
          <w:rtl/>
        </w:rPr>
        <w:lastRenderedPageBreak/>
        <w:t>בדין (ראו גם י. יחזקאל בעמ' 42-41 וההפניות שם</w:t>
      </w:r>
      <w:r w:rsidR="00FD4C34">
        <w:rPr>
          <w:rFonts w:ascii="Arial" w:hAnsi="Arial" w:hint="cs"/>
          <w:noProof w:val="0"/>
          <w:rtl/>
        </w:rPr>
        <w:t xml:space="preserve">; </w:t>
      </w:r>
      <w:r w:rsidR="00FD4C34" w:rsidRPr="00074009">
        <w:rPr>
          <w:rFonts w:ascii="Arial" w:hAnsi="Arial" w:hint="cs"/>
          <w:b/>
          <w:bCs/>
          <w:noProof w:val="0"/>
          <w:rtl/>
        </w:rPr>
        <w:t>ענין סלמה</w:t>
      </w:r>
      <w:r w:rsidR="00FD4C34">
        <w:rPr>
          <w:rFonts w:ascii="Arial" w:hAnsi="Arial" w:hint="cs"/>
          <w:noProof w:val="0"/>
          <w:rtl/>
        </w:rPr>
        <w:t xml:space="preserve"> (סעיף 7 לפסק הדין); בג"צ 4077/12 </w:t>
      </w:r>
      <w:r w:rsidR="00FD4C34">
        <w:rPr>
          <w:rFonts w:ascii="Arial" w:hAnsi="Arial" w:hint="cs"/>
          <w:b/>
          <w:bCs/>
          <w:noProof w:val="0"/>
          <w:rtl/>
        </w:rPr>
        <w:t xml:space="preserve">פלונית נ' משרד הבריאות </w:t>
      </w:r>
      <w:r w:rsidR="003112DD">
        <w:rPr>
          <w:rFonts w:ascii="Arial" w:hAnsi="Arial" w:hint="cs"/>
          <w:noProof w:val="0"/>
          <w:rtl/>
        </w:rPr>
        <w:t>(5.12.2013) בסעיף ה'</w:t>
      </w:r>
      <w:r w:rsidR="00A60313">
        <w:rPr>
          <w:rFonts w:ascii="Arial" w:hAnsi="Arial" w:hint="cs"/>
          <w:noProof w:val="0"/>
          <w:rtl/>
        </w:rPr>
        <w:t xml:space="preserve">). </w:t>
      </w:r>
    </w:p>
    <w:p w:rsidR="005D7F0A" w:rsidRDefault="00FD4C34" w:rsidP="00A60313">
      <w:pPr>
        <w:pStyle w:val="ad"/>
        <w:spacing w:after="120" w:line="360" w:lineRule="auto"/>
        <w:ind w:left="567"/>
        <w:contextualSpacing w:val="0"/>
        <w:jc w:val="both"/>
        <w:rPr>
          <w:rFonts w:ascii="Arial" w:hAnsi="Arial"/>
          <w:noProof w:val="0"/>
          <w:rtl/>
        </w:rPr>
      </w:pPr>
      <w:r w:rsidRPr="00833822">
        <w:rPr>
          <w:rFonts w:ascii="Arial" w:hAnsi="Arial" w:hint="cs"/>
          <w:b/>
          <w:bCs/>
          <w:noProof w:val="0"/>
          <w:rtl/>
        </w:rPr>
        <w:t>שמגר</w:t>
      </w:r>
      <w:r>
        <w:rPr>
          <w:rFonts w:ascii="Arial" w:hAnsi="Arial" w:hint="cs"/>
          <w:noProof w:val="0"/>
          <w:rtl/>
        </w:rPr>
        <w:t xml:space="preserve"> מתייחס להעדר היכולת לקבוע סטטוס על יסוד ההסכמה בהתאם להוראות הנוהל (עמ' 369):</w:t>
      </w:r>
    </w:p>
    <w:p w:rsidR="00FD4C34" w:rsidRPr="00FD4C34" w:rsidRDefault="00FD4C34" w:rsidP="00FD4C34">
      <w:pPr>
        <w:pStyle w:val="ad"/>
        <w:spacing w:after="120" w:line="360" w:lineRule="auto"/>
        <w:ind w:left="1134" w:right="567"/>
        <w:contextualSpacing w:val="0"/>
        <w:jc w:val="both"/>
        <w:rPr>
          <w:rFonts w:ascii="Arial" w:hAnsi="Arial"/>
          <w:b/>
          <w:bCs/>
          <w:noProof w:val="0"/>
          <w:rtl/>
        </w:rPr>
      </w:pPr>
      <w:r w:rsidRPr="00FD4C34">
        <w:rPr>
          <w:rFonts w:ascii="Arial" w:hAnsi="Arial" w:hint="cs"/>
          <w:b/>
          <w:bCs/>
          <w:noProof w:val="0"/>
          <w:rtl/>
        </w:rPr>
        <w:t>"חקיקת המשנה או ההוראות המינהליות האמורות, אין בכוחן לקבו</w:t>
      </w:r>
      <w:r w:rsidR="003112DD">
        <w:rPr>
          <w:rFonts w:ascii="Arial" w:hAnsi="Arial" w:hint="cs"/>
          <w:b/>
          <w:bCs/>
          <w:noProof w:val="0"/>
          <w:rtl/>
        </w:rPr>
        <w:t>ע</w:t>
      </w:r>
      <w:r w:rsidRPr="00FD4C34">
        <w:rPr>
          <w:rFonts w:ascii="Arial" w:hAnsi="Arial" w:hint="cs"/>
          <w:b/>
          <w:bCs/>
          <w:noProof w:val="0"/>
          <w:rtl/>
        </w:rPr>
        <w:t xml:space="preserve"> את מעמדם המשפטי של ההורים, של התורם או של הילד שנולד מן ההפריה שמזרעו של התורם"</w:t>
      </w:r>
    </w:p>
    <w:p w:rsidR="00074009" w:rsidRDefault="003112DD" w:rsidP="00074009">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כלומר, אף אם המנוח הביע הסכמתו, רצונו והתחייבותו להיות לקטין כאב, אין בכך </w:t>
      </w:r>
      <w:r w:rsidR="00074009">
        <w:rPr>
          <w:rFonts w:ascii="Arial" w:hAnsi="Arial" w:hint="cs"/>
          <w:noProof w:val="0"/>
          <w:rtl/>
        </w:rPr>
        <w:t>-</w:t>
      </w:r>
      <w:r>
        <w:rPr>
          <w:rFonts w:ascii="Arial" w:hAnsi="Arial" w:hint="cs"/>
          <w:noProof w:val="0"/>
          <w:rtl/>
        </w:rPr>
        <w:t xml:space="preserve"> במצב המשפטי הנוהג </w:t>
      </w:r>
      <w:r w:rsidR="009556E7">
        <w:rPr>
          <w:rFonts w:ascii="Arial" w:hAnsi="Arial" w:hint="cs"/>
          <w:noProof w:val="0"/>
          <w:rtl/>
        </w:rPr>
        <w:t>-</w:t>
      </w:r>
      <w:r>
        <w:rPr>
          <w:rFonts w:ascii="Arial" w:hAnsi="Arial" w:hint="cs"/>
          <w:noProof w:val="0"/>
          <w:rtl/>
        </w:rPr>
        <w:t xml:space="preserve"> כדי להקנות מעמד בהקשר של הקניית זכויות על פי דין, במובחן מהקניית זכויות שנובעות מהמישור ההסכמי בין הפרטים. </w:t>
      </w:r>
    </w:p>
    <w:p w:rsidR="001E7370" w:rsidRDefault="003112DD" w:rsidP="001E7370">
      <w:pPr>
        <w:pStyle w:val="ad"/>
        <w:spacing w:after="120" w:line="360" w:lineRule="auto"/>
        <w:ind w:left="567"/>
        <w:contextualSpacing w:val="0"/>
        <w:jc w:val="both"/>
        <w:rPr>
          <w:rFonts w:ascii="Arial" w:hAnsi="Arial"/>
          <w:noProof w:val="0"/>
          <w:rtl/>
        </w:rPr>
      </w:pPr>
      <w:r>
        <w:rPr>
          <w:rFonts w:ascii="Arial" w:hAnsi="Arial" w:hint="cs"/>
          <w:noProof w:val="0"/>
          <w:rtl/>
        </w:rPr>
        <w:t xml:space="preserve">כלומר, </w:t>
      </w:r>
      <w:r w:rsidR="001E7370">
        <w:rPr>
          <w:rFonts w:ascii="Arial" w:hAnsi="Arial" w:hint="cs"/>
          <w:noProof w:val="0"/>
          <w:rtl/>
        </w:rPr>
        <w:t>שעה ש</w:t>
      </w:r>
      <w:r>
        <w:rPr>
          <w:rFonts w:ascii="Arial" w:hAnsi="Arial" w:hint="cs"/>
          <w:noProof w:val="0"/>
          <w:rtl/>
        </w:rPr>
        <w:t>חוק הירושה קובע ירושה על פי דין לצאצאי</w:t>
      </w:r>
      <w:r>
        <w:rPr>
          <w:rFonts w:ascii="Arial" w:hAnsi="Arial" w:hint="eastAsia"/>
          <w:noProof w:val="0"/>
          <w:rtl/>
        </w:rPr>
        <w:t>ו</w:t>
      </w:r>
      <w:r>
        <w:rPr>
          <w:rFonts w:ascii="Arial" w:hAnsi="Arial" w:hint="cs"/>
          <w:noProof w:val="0"/>
          <w:rtl/>
        </w:rPr>
        <w:t xml:space="preserve"> </w:t>
      </w:r>
      <w:r w:rsidR="00833822">
        <w:rPr>
          <w:rFonts w:ascii="Arial" w:hAnsi="Arial" w:hint="cs"/>
          <w:noProof w:val="0"/>
          <w:rtl/>
        </w:rPr>
        <w:t xml:space="preserve">הטבעיים </w:t>
      </w:r>
      <w:r>
        <w:rPr>
          <w:rFonts w:ascii="Arial" w:hAnsi="Arial" w:hint="cs"/>
          <w:noProof w:val="0"/>
          <w:rtl/>
        </w:rPr>
        <w:t>של המנוח, בית המשפט אינו בוחן את כוונת הצדדים, טיב היחסים ואומד דעתם, שכן ההוראות בענין זה קפדניות, ברורות ואינן נתונות לשיקול דעת</w:t>
      </w:r>
      <w:r w:rsidR="001E7370">
        <w:rPr>
          <w:rFonts w:ascii="Arial" w:hAnsi="Arial" w:hint="cs"/>
          <w:noProof w:val="0"/>
          <w:rtl/>
        </w:rPr>
        <w:t>;</w:t>
      </w:r>
      <w:r>
        <w:rPr>
          <w:rFonts w:ascii="Arial" w:hAnsi="Arial" w:hint="cs"/>
          <w:noProof w:val="0"/>
          <w:rtl/>
        </w:rPr>
        <w:t xml:space="preserve"> וזאת בניגוד לחיוב או הקניית זכויות שנובעות מהאופן בו ראה אד</w:t>
      </w:r>
      <w:r w:rsidR="007700AF">
        <w:rPr>
          <w:rFonts w:ascii="Arial" w:hAnsi="Arial" w:hint="cs"/>
          <w:noProof w:val="0"/>
          <w:rtl/>
        </w:rPr>
        <w:t xml:space="preserve">ם את עצמו ביחס לילד ולמערכת היחסים איתו. </w:t>
      </w:r>
    </w:p>
    <w:p w:rsidR="003112DD" w:rsidRDefault="00833822" w:rsidP="001E7370">
      <w:pPr>
        <w:pStyle w:val="ad"/>
        <w:spacing w:after="120" w:line="360" w:lineRule="auto"/>
        <w:ind w:left="567"/>
        <w:contextualSpacing w:val="0"/>
        <w:jc w:val="both"/>
        <w:rPr>
          <w:rFonts w:ascii="Arial" w:hAnsi="Arial"/>
          <w:noProof w:val="0"/>
        </w:rPr>
      </w:pPr>
      <w:r>
        <w:rPr>
          <w:rFonts w:ascii="Arial" w:hAnsi="Arial" w:hint="cs"/>
          <w:noProof w:val="0"/>
          <w:rtl/>
        </w:rPr>
        <w:t xml:space="preserve">קביעת החלופה של הורשה באמצעות צוואה מאפשרת בחירת מסלול של הפעלת שיקול דעת של המנוח ומתן ביטוי לרצונו, אולם שעה שמסלול ההורשה הוא על פי דין, אין בחינה של </w:t>
      </w:r>
      <w:r w:rsidR="001E7370">
        <w:rPr>
          <w:rFonts w:ascii="Arial" w:hAnsi="Arial" w:hint="cs"/>
          <w:noProof w:val="0"/>
          <w:rtl/>
        </w:rPr>
        <w:t xml:space="preserve">פרמטרים ושיקולים בכדי לקבוע האם מתקיימים יחסים הנכנסים בגדר החלופות לירושה על פי דין. הדברים מוכתבים על ידי המחוקק. </w:t>
      </w:r>
    </w:p>
    <w:p w:rsidR="009556E7" w:rsidRDefault="007700AF" w:rsidP="009556E7">
      <w:pPr>
        <w:pStyle w:val="ad"/>
        <w:numPr>
          <w:ilvl w:val="0"/>
          <w:numId w:val="1"/>
        </w:numPr>
        <w:spacing w:after="120" w:line="360" w:lineRule="auto"/>
        <w:ind w:left="567" w:hanging="567"/>
        <w:contextualSpacing w:val="0"/>
        <w:jc w:val="both"/>
        <w:rPr>
          <w:rFonts w:ascii="Arial" w:hAnsi="Arial"/>
          <w:noProof w:val="0"/>
        </w:rPr>
      </w:pPr>
      <w:r w:rsidRPr="009556E7">
        <w:rPr>
          <w:rFonts w:ascii="Arial" w:hAnsi="Arial" w:hint="cs"/>
          <w:noProof w:val="0"/>
          <w:rtl/>
        </w:rPr>
        <w:t>אוסיף, כי ב"</w:t>
      </w:r>
      <w:r w:rsidRPr="001E7370">
        <w:rPr>
          <w:rFonts w:ascii="Arial" w:hAnsi="Arial" w:hint="cs"/>
          <w:b/>
          <w:bCs/>
          <w:noProof w:val="0"/>
          <w:rtl/>
        </w:rPr>
        <w:t>המלצות הוועדה הציבורית לבחינת הסדרה חקיקתית של נושא הפריון וההולדה בישראל</w:t>
      </w:r>
      <w:r w:rsidRPr="009556E7">
        <w:rPr>
          <w:rFonts w:ascii="Arial" w:hAnsi="Arial" w:hint="cs"/>
          <w:noProof w:val="0"/>
          <w:rtl/>
        </w:rPr>
        <w:t>" (</w:t>
      </w:r>
      <w:hyperlink r:id="rId10" w:history="1">
        <w:r w:rsidRPr="009556E7">
          <w:rPr>
            <w:rStyle w:val="Hyperlink"/>
            <w:rFonts w:ascii="Arial" w:hAnsi="Arial"/>
            <w:noProof w:val="0"/>
          </w:rPr>
          <w:t>https://www.health.gov.il/publicationsfiles/bap2012.pdf</w:t>
        </w:r>
      </w:hyperlink>
      <w:r w:rsidRPr="009556E7">
        <w:rPr>
          <w:rFonts w:ascii="Arial" w:hAnsi="Arial" w:hint="cs"/>
          <w:noProof w:val="0"/>
          <w:rtl/>
        </w:rPr>
        <w:t xml:space="preserve">) נכללה המלצה להכיר בבן זוגה של היולדת </w:t>
      </w:r>
      <w:r w:rsidR="009556E7">
        <w:rPr>
          <w:rFonts w:ascii="Arial" w:hAnsi="Arial" w:hint="cs"/>
          <w:noProof w:val="0"/>
          <w:rtl/>
        </w:rPr>
        <w:t xml:space="preserve">כהורה לנולד </w:t>
      </w:r>
      <w:r w:rsidRPr="009556E7">
        <w:rPr>
          <w:rFonts w:ascii="Arial" w:hAnsi="Arial" w:hint="cs"/>
          <w:noProof w:val="0"/>
          <w:rtl/>
        </w:rPr>
        <w:t>ללא צורך בקבלת צו הורות</w:t>
      </w:r>
      <w:r w:rsidR="009556E7">
        <w:rPr>
          <w:rFonts w:ascii="Arial" w:hAnsi="Arial" w:hint="cs"/>
          <w:noProof w:val="0"/>
          <w:rtl/>
        </w:rPr>
        <w:t xml:space="preserve"> וכי </w:t>
      </w:r>
      <w:r w:rsidR="009556E7" w:rsidRPr="001E7370">
        <w:rPr>
          <w:rFonts w:ascii="Arial" w:hAnsi="Arial" w:hint="cs"/>
          <w:noProof w:val="0"/>
          <w:u w:val="single"/>
          <w:rtl/>
        </w:rPr>
        <w:t>בהצעת חוק תרומת זרע</w:t>
      </w:r>
      <w:r w:rsidR="009556E7">
        <w:rPr>
          <w:rFonts w:ascii="Arial" w:hAnsi="Arial" w:hint="cs"/>
          <w:noProof w:val="0"/>
          <w:rtl/>
        </w:rPr>
        <w:t xml:space="preserve">, התשפ"א-2021 הוצע לקבוע את מעמדו של היילוד שנולד כתוצאה מתרומת זרע כילדו של בן או בת הזוג של הנתרמת לכל דבר וענין. </w:t>
      </w:r>
    </w:p>
    <w:p w:rsidR="009556E7" w:rsidRDefault="009556E7" w:rsidP="009556E7">
      <w:pPr>
        <w:pStyle w:val="ad"/>
        <w:spacing w:after="120" w:line="360" w:lineRule="auto"/>
        <w:ind w:left="567"/>
        <w:contextualSpacing w:val="0"/>
        <w:jc w:val="both"/>
        <w:rPr>
          <w:rFonts w:ascii="Arial" w:hAnsi="Arial"/>
          <w:noProof w:val="0"/>
        </w:rPr>
      </w:pPr>
      <w:r>
        <w:rPr>
          <w:rFonts w:ascii="Arial" w:hAnsi="Arial" w:hint="cs"/>
          <w:noProof w:val="0"/>
          <w:rtl/>
        </w:rPr>
        <w:t xml:space="preserve">אולם שעה שהמחוקק טרם הסדיר ענין זה (אדרבא, שעה שהובהר כי יש צורך להסדיר ענין זה, כלומר שאין במצב הקיים כדי לאפשר זאת) - לא ניתן לראות בהסכמה על פי הוראות הנוהל כמאפשרות קביעת הסטטוס המבוקש בהקשר של חוק הירושה. </w:t>
      </w:r>
    </w:p>
    <w:p w:rsidR="007700AF" w:rsidRPr="00B15729" w:rsidRDefault="00B15729" w:rsidP="00B15729">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עוד ביקש הקטין להסתמך על הוראות "הסכם הזוגיות" עליו חתמו המנוח והאֵם ביום 6.11.2007, במסגרתו הצהיר המנוח, כי </w:t>
      </w:r>
      <w:r>
        <w:rPr>
          <w:rFonts w:ascii="Arial" w:hAnsi="Arial" w:hint="cs"/>
          <w:b/>
          <w:bCs/>
          <w:noProof w:val="0"/>
          <w:rtl/>
        </w:rPr>
        <w:t xml:space="preserve">"יכיר באבהותו על הוולד/ים על כל המשתמע מכך, במידה ותהליך ההפריה יצלח, ב"ה" </w:t>
      </w:r>
      <w:r>
        <w:rPr>
          <w:rFonts w:ascii="Arial" w:hAnsi="Arial" w:hint="cs"/>
          <w:noProof w:val="0"/>
          <w:rtl/>
        </w:rPr>
        <w:t xml:space="preserve">וכי המנוח </w:t>
      </w:r>
      <w:r>
        <w:rPr>
          <w:rFonts w:ascii="Arial" w:hAnsi="Arial" w:hint="cs"/>
          <w:b/>
          <w:bCs/>
          <w:noProof w:val="0"/>
          <w:rtl/>
        </w:rPr>
        <w:t xml:space="preserve">"מסכים לקבל אבהות על הוולד/ים אשר יוולדו ב"ה על כל המשתמע מכך". </w:t>
      </w:r>
    </w:p>
    <w:p w:rsidR="00B15729" w:rsidRDefault="00B15729" w:rsidP="0014425D">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בדומה להתייחסות להוראות הנוהל </w:t>
      </w:r>
      <w:r w:rsidR="0014425D">
        <w:rPr>
          <w:rFonts w:ascii="Arial" w:hAnsi="Arial" w:hint="cs"/>
          <w:noProof w:val="0"/>
          <w:rtl/>
        </w:rPr>
        <w:t>-</w:t>
      </w:r>
      <w:r>
        <w:rPr>
          <w:rFonts w:ascii="Arial" w:hAnsi="Arial" w:hint="cs"/>
          <w:noProof w:val="0"/>
          <w:rtl/>
        </w:rPr>
        <w:t xml:space="preserve"> בנקודת זמן זו, אין עיגון חוקי לקביעת הורות על יסוד הסכמי (שוב, ההבחנה היא בין יצירת מעמד הורי (שאינו אפשרי) לבין קביעת חיוב הורי (אפשרי, על יסוד הסכמת הצדדים או הוראות חוק המזונות או הדין האישי)</w:t>
      </w:r>
      <w:r w:rsidR="00074009">
        <w:rPr>
          <w:rFonts w:ascii="Arial" w:hAnsi="Arial" w:hint="cs"/>
          <w:noProof w:val="0"/>
          <w:rtl/>
        </w:rPr>
        <w:t>)</w:t>
      </w:r>
      <w:r>
        <w:rPr>
          <w:rFonts w:ascii="Arial" w:hAnsi="Arial" w:hint="cs"/>
          <w:noProof w:val="0"/>
          <w:rtl/>
        </w:rPr>
        <w:t xml:space="preserve">. </w:t>
      </w:r>
    </w:p>
    <w:p w:rsidR="00B15729" w:rsidRPr="00B15729" w:rsidRDefault="00B15729" w:rsidP="00B15729">
      <w:pPr>
        <w:pStyle w:val="ad"/>
        <w:spacing w:after="120" w:line="360" w:lineRule="auto"/>
        <w:ind w:left="567"/>
        <w:contextualSpacing w:val="0"/>
        <w:jc w:val="both"/>
        <w:rPr>
          <w:rFonts w:ascii="Arial" w:hAnsi="Arial"/>
          <w:noProof w:val="0"/>
        </w:rPr>
      </w:pPr>
      <w:r>
        <w:rPr>
          <w:rFonts w:ascii="Arial" w:hAnsi="Arial" w:hint="cs"/>
          <w:noProof w:val="0"/>
          <w:rtl/>
        </w:rPr>
        <w:t>אסביר</w:t>
      </w:r>
      <w:r w:rsidR="00074009">
        <w:rPr>
          <w:rFonts w:ascii="Arial" w:hAnsi="Arial" w:hint="cs"/>
          <w:noProof w:val="0"/>
          <w:rtl/>
        </w:rPr>
        <w:t xml:space="preserve"> ואפרט</w:t>
      </w:r>
      <w:r>
        <w:rPr>
          <w:rFonts w:ascii="Arial" w:hAnsi="Arial" w:hint="cs"/>
          <w:noProof w:val="0"/>
          <w:rtl/>
        </w:rPr>
        <w:t>:</w:t>
      </w:r>
    </w:p>
    <w:p w:rsidR="001A7DF9" w:rsidRDefault="00B15729" w:rsidP="001A7DF9">
      <w:pPr>
        <w:pStyle w:val="ad"/>
        <w:numPr>
          <w:ilvl w:val="0"/>
          <w:numId w:val="1"/>
        </w:numPr>
        <w:spacing w:after="120" w:line="360" w:lineRule="auto"/>
        <w:ind w:left="567" w:hanging="567"/>
        <w:contextualSpacing w:val="0"/>
        <w:jc w:val="both"/>
        <w:rPr>
          <w:rFonts w:ascii="Narkisim" w:hAnsi="Narkisim" w:cs="Narkisim"/>
          <w:noProof w:val="0"/>
          <w:color w:val="000000"/>
          <w:sz w:val="28"/>
          <w:szCs w:val="28"/>
        </w:rPr>
      </w:pPr>
      <w:r w:rsidRPr="00EA1CD2">
        <w:rPr>
          <w:rFonts w:ascii="Arial" w:hAnsi="Arial" w:hint="cs"/>
          <w:noProof w:val="0"/>
          <w:rtl/>
        </w:rPr>
        <w:t>ב</w:t>
      </w:r>
      <w:r w:rsidR="00F033BA" w:rsidRPr="00EA1CD2">
        <w:rPr>
          <w:rFonts w:ascii="Arial" w:hAnsi="Arial"/>
          <w:noProof w:val="0"/>
          <w:rtl/>
        </w:rPr>
        <w:t>בע</w:t>
      </w:r>
      <w:r w:rsidR="00EA1CD2" w:rsidRPr="00EA1CD2">
        <w:rPr>
          <w:rFonts w:ascii="Arial" w:hAnsi="Arial" w:hint="cs"/>
          <w:noProof w:val="0"/>
          <w:rtl/>
        </w:rPr>
        <w:t>"</w:t>
      </w:r>
      <w:r w:rsidR="00F033BA" w:rsidRPr="00EA1CD2">
        <w:rPr>
          <w:rFonts w:ascii="Arial" w:hAnsi="Arial"/>
          <w:noProof w:val="0"/>
          <w:rtl/>
        </w:rPr>
        <w:t>מ 1118/14</w:t>
      </w:r>
      <w:r w:rsidRPr="00EA1CD2">
        <w:rPr>
          <w:rFonts w:ascii="Arial" w:hAnsi="Arial" w:hint="cs"/>
          <w:noProof w:val="0"/>
          <w:rtl/>
        </w:rPr>
        <w:t xml:space="preserve"> </w:t>
      </w:r>
      <w:r w:rsidR="00F033BA" w:rsidRPr="00EA1CD2">
        <w:rPr>
          <w:rFonts w:ascii="Arial" w:hAnsi="Arial"/>
          <w:b/>
          <w:bCs/>
          <w:noProof w:val="0"/>
          <w:rtl/>
        </w:rPr>
        <w:t>פלונית נ' משרד הרווחה והשירותים החברתיים</w:t>
      </w:r>
      <w:r w:rsidR="00F033BA" w:rsidRPr="00EA1CD2">
        <w:rPr>
          <w:rFonts w:ascii="Arial" w:hAnsi="Arial" w:hint="cs"/>
          <w:noProof w:val="0"/>
          <w:rtl/>
        </w:rPr>
        <w:t xml:space="preserve"> (</w:t>
      </w:r>
      <w:r w:rsidR="00EA1CD2" w:rsidRPr="00EA1CD2">
        <w:rPr>
          <w:rFonts w:ascii="Arial" w:hAnsi="Arial" w:hint="cs"/>
          <w:noProof w:val="0"/>
          <w:rtl/>
        </w:rPr>
        <w:t>1.4.2015</w:t>
      </w:r>
      <w:r w:rsidR="00F033BA" w:rsidRPr="00EA1CD2">
        <w:rPr>
          <w:rFonts w:ascii="Arial" w:hAnsi="Arial" w:hint="cs"/>
          <w:noProof w:val="0"/>
          <w:rtl/>
        </w:rPr>
        <w:t xml:space="preserve">) </w:t>
      </w:r>
      <w:r w:rsidR="001A7DF9">
        <w:rPr>
          <w:rFonts w:ascii="Arial" w:hAnsi="Arial" w:hint="cs"/>
          <w:noProof w:val="0"/>
          <w:rtl/>
        </w:rPr>
        <w:t>(</w:t>
      </w:r>
      <w:r w:rsidR="001A7DF9">
        <w:rPr>
          <w:rFonts w:ascii="Arial" w:hAnsi="Arial" w:hint="cs"/>
          <w:b/>
          <w:bCs/>
          <w:noProof w:val="0"/>
          <w:rtl/>
        </w:rPr>
        <w:t>"ענין פלונית"</w:t>
      </w:r>
      <w:r w:rsidR="001A7DF9">
        <w:rPr>
          <w:rFonts w:ascii="Arial" w:hAnsi="Arial" w:hint="cs"/>
          <w:noProof w:val="0"/>
          <w:rtl/>
        </w:rPr>
        <w:t xml:space="preserve">) </w:t>
      </w:r>
      <w:r w:rsidR="00EA1CD2" w:rsidRPr="00EA1CD2">
        <w:rPr>
          <w:rFonts w:ascii="Arial" w:hAnsi="Arial" w:hint="cs"/>
          <w:noProof w:val="0"/>
          <w:rtl/>
        </w:rPr>
        <w:t xml:space="preserve">קבע בית המשפט העליון, כי </w:t>
      </w:r>
      <w:r w:rsidR="00F033BA" w:rsidRPr="00EA1CD2">
        <w:rPr>
          <w:rFonts w:ascii="Arial" w:hAnsi="Arial" w:hint="cs"/>
          <w:noProof w:val="0"/>
          <w:rtl/>
        </w:rPr>
        <w:t xml:space="preserve">החוק הישראלי מכיר בהורות על בסיס ארבעה אדנים חלופיים ומשלימים </w:t>
      </w:r>
      <w:r w:rsidR="00EA1CD2">
        <w:rPr>
          <w:rFonts w:ascii="Arial" w:hAnsi="Arial" w:hint="cs"/>
          <w:noProof w:val="0"/>
          <w:rtl/>
        </w:rPr>
        <w:t>-</w:t>
      </w:r>
      <w:r w:rsidR="00F033BA" w:rsidRPr="00EA1CD2">
        <w:rPr>
          <w:rFonts w:ascii="Arial" w:hAnsi="Arial" w:hint="cs"/>
          <w:noProof w:val="0"/>
          <w:rtl/>
        </w:rPr>
        <w:t xml:space="preserve"> זיקה גנטית, זיקה פיזיולוגית, אימוץ וזיקה לזיקה (כלומר קשר זוגיות  עם בעל/ת הזיקה הגנטית)</w:t>
      </w:r>
      <w:r w:rsidR="00EA1CD2">
        <w:rPr>
          <w:rFonts w:ascii="Arial" w:hAnsi="Arial" w:hint="cs"/>
          <w:noProof w:val="0"/>
          <w:rtl/>
        </w:rPr>
        <w:t>.</w:t>
      </w:r>
    </w:p>
    <w:p w:rsidR="001A7DF9" w:rsidRDefault="001A7DF9" w:rsidP="001A7DF9">
      <w:pPr>
        <w:pStyle w:val="ad"/>
        <w:spacing w:after="120" w:line="360" w:lineRule="auto"/>
        <w:ind w:left="567"/>
        <w:contextualSpacing w:val="0"/>
        <w:jc w:val="both"/>
        <w:rPr>
          <w:rFonts w:ascii="Arial" w:hAnsi="Arial"/>
          <w:b/>
          <w:bCs/>
          <w:noProof w:val="0"/>
          <w:rtl/>
        </w:rPr>
      </w:pPr>
      <w:r>
        <w:rPr>
          <w:rFonts w:ascii="Arial" w:hAnsi="Arial" w:hint="cs"/>
          <w:noProof w:val="0"/>
          <w:rtl/>
        </w:rPr>
        <w:t>עוד נקבע באותו ענין, כי אין להשאיר אפשרות של הסדרה או שלילה של הורות ליחסים הסכמיים.</w:t>
      </w:r>
    </w:p>
    <w:p w:rsidR="00483AAE" w:rsidRDefault="0014425D" w:rsidP="001A7DF9">
      <w:pPr>
        <w:pStyle w:val="ad"/>
        <w:numPr>
          <w:ilvl w:val="0"/>
          <w:numId w:val="1"/>
        </w:numPr>
        <w:spacing w:after="120" w:line="360" w:lineRule="auto"/>
        <w:ind w:left="567" w:hanging="567"/>
        <w:contextualSpacing w:val="0"/>
        <w:jc w:val="both"/>
        <w:rPr>
          <w:rFonts w:ascii="Arial" w:hAnsi="Arial"/>
          <w:noProof w:val="0"/>
        </w:rPr>
      </w:pPr>
      <w:r w:rsidRPr="0076262A">
        <w:rPr>
          <w:rFonts w:ascii="Arial" w:hAnsi="Arial" w:hint="cs"/>
          <w:b/>
          <w:bCs/>
          <w:noProof w:val="0"/>
          <w:rtl/>
        </w:rPr>
        <w:t>בענין פלוני</w:t>
      </w:r>
      <w:r>
        <w:rPr>
          <w:rFonts w:ascii="Arial" w:hAnsi="Arial" w:hint="cs"/>
          <w:noProof w:val="0"/>
          <w:rtl/>
        </w:rPr>
        <w:t xml:space="preserve"> </w:t>
      </w:r>
      <w:r w:rsidR="00483AAE">
        <w:rPr>
          <w:rFonts w:ascii="Arial" w:hAnsi="Arial" w:hint="cs"/>
          <w:noProof w:val="0"/>
          <w:rtl/>
        </w:rPr>
        <w:t>נדרש בית המשפט העליון לאפשרות קביעת הורות מכח זיקה לזיקה וקבע, כי הדין הי</w:t>
      </w:r>
      <w:r w:rsidR="0076262A">
        <w:rPr>
          <w:rFonts w:ascii="Arial" w:hAnsi="Arial" w:hint="cs"/>
          <w:noProof w:val="0"/>
          <w:rtl/>
        </w:rPr>
        <w:t>ש</w:t>
      </w:r>
      <w:r w:rsidR="00483AAE">
        <w:rPr>
          <w:rFonts w:ascii="Arial" w:hAnsi="Arial" w:hint="cs"/>
          <w:noProof w:val="0"/>
          <w:rtl/>
        </w:rPr>
        <w:t>ר</w:t>
      </w:r>
      <w:r w:rsidR="0076262A">
        <w:rPr>
          <w:rFonts w:ascii="Arial" w:hAnsi="Arial" w:hint="cs"/>
          <w:noProof w:val="0"/>
          <w:rtl/>
        </w:rPr>
        <w:t>אלי אינו מכיר ב'הורות הסכמית' וכי "</w:t>
      </w:r>
      <w:r w:rsidR="0076262A" w:rsidRPr="00483AAE">
        <w:rPr>
          <w:rFonts w:ascii="Arial" w:hAnsi="Arial" w:hint="cs"/>
          <w:b/>
          <w:bCs/>
          <w:noProof w:val="0"/>
          <w:rtl/>
        </w:rPr>
        <w:t>כינון יחסי הורות אינו ענין להסכמה גרידא בין פרטים אלא מותנה בצו שיפוטי ובמנגנוני בפיקוח ובקרה שנועדו להבטיח הגנה על זכויות כל המעורבים ובעיקר על זכויות היילוד</w:t>
      </w:r>
      <w:r w:rsidR="0076262A">
        <w:rPr>
          <w:rFonts w:ascii="Arial" w:hAnsi="Arial" w:hint="cs"/>
          <w:noProof w:val="0"/>
          <w:rtl/>
        </w:rPr>
        <w:t>"</w:t>
      </w:r>
      <w:r w:rsidR="00483AAE">
        <w:rPr>
          <w:rFonts w:ascii="Arial" w:hAnsi="Arial" w:hint="cs"/>
          <w:noProof w:val="0"/>
          <w:rtl/>
        </w:rPr>
        <w:t>;</w:t>
      </w:r>
      <w:r w:rsidR="0076262A">
        <w:rPr>
          <w:rFonts w:ascii="Arial" w:hAnsi="Arial" w:hint="cs"/>
          <w:noProof w:val="0"/>
          <w:rtl/>
        </w:rPr>
        <w:t xml:space="preserve"> משכך </w:t>
      </w:r>
      <w:r w:rsidR="00483AAE">
        <w:rPr>
          <w:rFonts w:ascii="Arial" w:hAnsi="Arial" w:hint="cs"/>
          <w:noProof w:val="0"/>
          <w:rtl/>
        </w:rPr>
        <w:t>נ</w:t>
      </w:r>
      <w:r w:rsidR="0076262A">
        <w:rPr>
          <w:rFonts w:ascii="Arial" w:hAnsi="Arial" w:hint="cs"/>
          <w:noProof w:val="0"/>
          <w:rtl/>
        </w:rPr>
        <w:t xml:space="preserve">קבע, כי לצורך כינון הורות שאינה ביולוגית נדרש צו שיפוטי מתאים ולא ניתן להסתמך על הסכמת </w:t>
      </w:r>
      <w:r w:rsidR="00483AAE">
        <w:rPr>
          <w:rFonts w:ascii="Arial" w:hAnsi="Arial" w:hint="cs"/>
          <w:noProof w:val="0"/>
          <w:rtl/>
        </w:rPr>
        <w:t xml:space="preserve">צדדים להסכם </w:t>
      </w:r>
      <w:r w:rsidR="0076262A">
        <w:rPr>
          <w:rFonts w:ascii="Arial" w:hAnsi="Arial" w:hint="cs"/>
          <w:noProof w:val="0"/>
          <w:rtl/>
        </w:rPr>
        <w:t>המבקשים להרות יחד</w:t>
      </w:r>
      <w:r w:rsidR="00D7036B">
        <w:rPr>
          <w:rFonts w:ascii="Arial" w:hAnsi="Arial" w:hint="cs"/>
          <w:noProof w:val="0"/>
          <w:rtl/>
        </w:rPr>
        <w:t xml:space="preserve"> בלבד (ראו גם </w:t>
      </w:r>
      <w:r w:rsidR="00D7036B">
        <w:rPr>
          <w:color w:val="000000"/>
          <w:spacing w:val="10"/>
        </w:rPr>
        <w:t>Shahar Lifshitz,</w:t>
      </w:r>
      <w:r w:rsidR="00D7036B">
        <w:rPr>
          <w:i/>
          <w:iCs/>
          <w:color w:val="000000"/>
          <w:spacing w:val="10"/>
        </w:rPr>
        <w:t> Neither Nature nor Contract: Toward an Institutional Perspective on Parenthood,</w:t>
      </w:r>
      <w:r w:rsidR="00D7036B">
        <w:rPr>
          <w:color w:val="000000"/>
          <w:spacing w:val="10"/>
        </w:rPr>
        <w:t> 8 </w:t>
      </w:r>
      <w:r w:rsidR="00D7036B">
        <w:rPr>
          <w:caps/>
          <w:color w:val="000000"/>
          <w:spacing w:val="10"/>
        </w:rPr>
        <w:t>THE LAW &amp; ETHICS OF HUMAN RIGHTS</w:t>
      </w:r>
      <w:r w:rsidR="00D7036B">
        <w:rPr>
          <w:color w:val="000000"/>
          <w:spacing w:val="10"/>
        </w:rPr>
        <w:t> 297 (2014)</w:t>
      </w:r>
      <w:r w:rsidR="00D7036B">
        <w:rPr>
          <w:rFonts w:ascii="Arial" w:hAnsi="Arial" w:hint="cs"/>
          <w:noProof w:val="0"/>
          <w:rtl/>
        </w:rPr>
        <w:t xml:space="preserve"> בעמ' 312)</w:t>
      </w:r>
      <w:r w:rsidR="0076262A">
        <w:rPr>
          <w:rFonts w:ascii="Arial" w:hAnsi="Arial" w:hint="cs"/>
          <w:noProof w:val="0"/>
          <w:rtl/>
        </w:rPr>
        <w:t xml:space="preserve">. </w:t>
      </w:r>
    </w:p>
    <w:p w:rsidR="00483AAE" w:rsidRDefault="00483AAE" w:rsidP="001E7370">
      <w:pPr>
        <w:pStyle w:val="ad"/>
        <w:spacing w:after="120" w:line="360" w:lineRule="auto"/>
        <w:ind w:left="567"/>
        <w:contextualSpacing w:val="0"/>
        <w:jc w:val="both"/>
        <w:rPr>
          <w:rFonts w:ascii="Arial" w:hAnsi="Arial"/>
          <w:noProof w:val="0"/>
          <w:rtl/>
        </w:rPr>
      </w:pPr>
      <w:r>
        <w:rPr>
          <w:rFonts w:ascii="Arial" w:hAnsi="Arial" w:hint="cs"/>
          <w:noProof w:val="0"/>
          <w:rtl/>
        </w:rPr>
        <w:t xml:space="preserve">עוד נקבע, כי </w:t>
      </w:r>
      <w:r w:rsidR="0014425D">
        <w:rPr>
          <w:rFonts w:ascii="Arial" w:hAnsi="Arial" w:hint="cs"/>
          <w:noProof w:val="0"/>
          <w:rtl/>
        </w:rPr>
        <w:t>ההכרה המשפטית בהורות חשובה ומשמעותית, בין היתר, בהיותה מרכיב המשפיע על היבטים כלכליים ובכלל כך</w:t>
      </w:r>
      <w:r w:rsidR="0014425D" w:rsidRPr="00483AAE">
        <w:rPr>
          <w:rFonts w:ascii="Arial" w:hAnsi="Arial" w:hint="cs"/>
          <w:noProof w:val="0"/>
          <w:u w:val="single"/>
          <w:rtl/>
        </w:rPr>
        <w:t xml:space="preserve"> זכות הירושה</w:t>
      </w:r>
      <w:r w:rsidR="0014425D">
        <w:rPr>
          <w:rFonts w:ascii="Arial" w:hAnsi="Arial" w:hint="cs"/>
          <w:noProof w:val="0"/>
          <w:rtl/>
        </w:rPr>
        <w:t xml:space="preserve"> (סעיף 28</w:t>
      </w:r>
      <w:r w:rsidR="00045F13">
        <w:rPr>
          <w:rFonts w:ascii="Arial" w:hAnsi="Arial" w:hint="cs"/>
          <w:noProof w:val="0"/>
          <w:rtl/>
        </w:rPr>
        <w:t xml:space="preserve"> וכן </w:t>
      </w:r>
      <w:hyperlink r:id="rId11" w:history="1">
        <w:r w:rsidR="00045F13" w:rsidRPr="006915E7">
          <w:rPr>
            <w:rFonts w:ascii="Arial" w:hAnsi="Arial"/>
            <w:noProof w:val="0"/>
            <w:rtl/>
          </w:rPr>
          <w:t>ש</w:t>
        </w:r>
        <w:r w:rsidR="001E7370">
          <w:rPr>
            <w:rFonts w:ascii="Arial" w:hAnsi="Arial" w:hint="cs"/>
            <w:noProof w:val="0"/>
            <w:rtl/>
          </w:rPr>
          <w:t>.</w:t>
        </w:r>
        <w:r w:rsidR="00045F13" w:rsidRPr="006915E7">
          <w:rPr>
            <w:rFonts w:ascii="Arial" w:hAnsi="Arial"/>
            <w:noProof w:val="0"/>
            <w:rtl/>
          </w:rPr>
          <w:t xml:space="preserve"> ליפשיץ, </w:t>
        </w:r>
        <w:r w:rsidR="00045F13" w:rsidRPr="006915E7">
          <w:rPr>
            <w:rFonts w:ascii="Arial" w:hAnsi="Arial"/>
            <w:b/>
            <w:bCs/>
            <w:noProof w:val="0"/>
            <w:rtl/>
          </w:rPr>
          <w:t>"הזכות להו</w:t>
        </w:r>
        <w:r w:rsidR="006915E7" w:rsidRPr="006915E7">
          <w:rPr>
            <w:rFonts w:ascii="Arial" w:hAnsi="Arial"/>
            <w:b/>
            <w:bCs/>
            <w:noProof w:val="0"/>
            <w:rtl/>
          </w:rPr>
          <w:t>רות של בני זוג מאותו המין</w:t>
        </w:r>
        <w:r w:rsidR="006915E7">
          <w:rPr>
            <w:rFonts w:ascii="Arial" w:hAnsi="Arial"/>
            <w:noProof w:val="0"/>
            <w:rtl/>
          </w:rPr>
          <w:t>", מחק</w:t>
        </w:r>
        <w:r w:rsidR="00045F13" w:rsidRPr="00045F13">
          <w:rPr>
            <w:rFonts w:ascii="Arial" w:hAnsi="Arial"/>
            <w:noProof w:val="0"/>
            <w:rtl/>
          </w:rPr>
          <w:t>ר</w:t>
        </w:r>
        <w:r w:rsidR="006915E7">
          <w:rPr>
            <w:rFonts w:ascii="Arial" w:hAnsi="Arial" w:hint="cs"/>
            <w:noProof w:val="0"/>
            <w:rtl/>
          </w:rPr>
          <w:t>י</w:t>
        </w:r>
        <w:r w:rsidR="00045F13" w:rsidRPr="00045F13">
          <w:rPr>
            <w:rFonts w:ascii="Arial" w:hAnsi="Arial"/>
            <w:noProof w:val="0"/>
            <w:rtl/>
          </w:rPr>
          <w:t xml:space="preserve"> משפט, לד (2022) 1</w:t>
        </w:r>
      </w:hyperlink>
      <w:r w:rsidR="00045F13">
        <w:rPr>
          <w:rFonts w:ascii="Arial" w:hAnsi="Arial" w:hint="cs"/>
          <w:noProof w:val="0"/>
          <w:rtl/>
        </w:rPr>
        <w:t xml:space="preserve"> פרק ח'</w:t>
      </w:r>
      <w:r w:rsidR="0014425D">
        <w:rPr>
          <w:rFonts w:ascii="Arial" w:hAnsi="Arial" w:hint="cs"/>
          <w:noProof w:val="0"/>
          <w:rtl/>
        </w:rPr>
        <w:t>)</w:t>
      </w:r>
      <w:r>
        <w:rPr>
          <w:rFonts w:ascii="Arial" w:hAnsi="Arial" w:hint="cs"/>
          <w:noProof w:val="0"/>
          <w:rtl/>
        </w:rPr>
        <w:t>.</w:t>
      </w:r>
    </w:p>
    <w:p w:rsidR="0014425D" w:rsidRDefault="00483AAE" w:rsidP="00483AAE">
      <w:pPr>
        <w:pStyle w:val="ad"/>
        <w:spacing w:after="120" w:line="360" w:lineRule="auto"/>
        <w:ind w:left="567"/>
        <w:contextualSpacing w:val="0"/>
        <w:jc w:val="both"/>
        <w:rPr>
          <w:rFonts w:ascii="Arial" w:hAnsi="Arial"/>
          <w:noProof w:val="0"/>
          <w:rtl/>
        </w:rPr>
      </w:pPr>
      <w:r>
        <w:rPr>
          <w:rFonts w:ascii="Arial" w:hAnsi="Arial" w:hint="cs"/>
          <w:noProof w:val="0"/>
          <w:rtl/>
        </w:rPr>
        <w:t xml:space="preserve">כלומר, בהעדר קביעה שיפוטית המכריזה על הורות או אימוץ, לא ניתן לקבוע זכויות או חובות שנובעות </w:t>
      </w:r>
      <w:r w:rsidR="006915E7">
        <w:rPr>
          <w:rFonts w:ascii="Arial" w:hAnsi="Arial" w:hint="cs"/>
          <w:noProof w:val="0"/>
          <w:rtl/>
        </w:rPr>
        <w:t>מסטטוס</w:t>
      </w:r>
      <w:r>
        <w:rPr>
          <w:rFonts w:ascii="Arial" w:hAnsi="Arial" w:hint="cs"/>
          <w:noProof w:val="0"/>
          <w:rtl/>
        </w:rPr>
        <w:t xml:space="preserve"> הורי. </w:t>
      </w:r>
      <w:r w:rsidR="0076262A">
        <w:rPr>
          <w:rFonts w:ascii="Arial" w:hAnsi="Arial" w:hint="cs"/>
          <w:noProof w:val="0"/>
          <w:rtl/>
        </w:rPr>
        <w:t xml:space="preserve"> </w:t>
      </w:r>
    </w:p>
    <w:p w:rsidR="00A1057A" w:rsidRDefault="00D606BF" w:rsidP="001E737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איני סבורה שניתן לקבל את טענת הקטין בהסתמך על מאמרו של ש</w:t>
      </w:r>
      <w:r w:rsidR="001E7370">
        <w:rPr>
          <w:rFonts w:ascii="Arial" w:hAnsi="Arial" w:hint="cs"/>
          <w:noProof w:val="0"/>
          <w:rtl/>
        </w:rPr>
        <w:t>.</w:t>
      </w:r>
      <w:r>
        <w:rPr>
          <w:rFonts w:ascii="Arial" w:hAnsi="Arial" w:hint="cs"/>
          <w:noProof w:val="0"/>
          <w:rtl/>
        </w:rPr>
        <w:t xml:space="preserve"> ליפשיץ אשר הוזכר בסעיף 45 לעיל כמכיר בהכרה בהורות מכח הסכם שעה שהעמדה המוצגת שם, להבנתי, היא צורך בהסדרה ברורה, מעצבת ומכוננת של מוסד ההורות (ראו גם </w:t>
      </w:r>
      <w:r w:rsidR="005328E4">
        <w:rPr>
          <w:rFonts w:ascii="Arial" w:hAnsi="Arial"/>
          <w:noProof w:val="0"/>
          <w:rtl/>
        </w:rPr>
        <w:t>ש</w:t>
      </w:r>
      <w:r w:rsidR="005328E4">
        <w:rPr>
          <w:rFonts w:ascii="Arial" w:hAnsi="Arial" w:hint="cs"/>
          <w:noProof w:val="0"/>
          <w:rtl/>
        </w:rPr>
        <w:t>.</w:t>
      </w:r>
      <w:r w:rsidR="00A1057A" w:rsidRPr="00A1057A">
        <w:rPr>
          <w:rFonts w:ascii="Arial" w:hAnsi="Arial"/>
          <w:noProof w:val="0"/>
          <w:rtl/>
        </w:rPr>
        <w:t xml:space="preserve"> ליפשיץ, </w:t>
      </w:r>
      <w:r w:rsidR="00A1057A" w:rsidRPr="00A1057A">
        <w:rPr>
          <w:rFonts w:ascii="Arial" w:hAnsi="Arial"/>
          <w:b/>
          <w:bCs/>
          <w:noProof w:val="0"/>
          <w:rtl/>
        </w:rPr>
        <w:t>אתיקת ההורות והזכות להורות המשותפת של בני זוג מאותו המין</w:t>
      </w:r>
      <w:r w:rsidR="00A1057A">
        <w:rPr>
          <w:rFonts w:ascii="Arial" w:hAnsi="Arial" w:hint="cs"/>
          <w:noProof w:val="0"/>
          <w:rtl/>
        </w:rPr>
        <w:t>, ספר סלים ג'ובראן (2023))</w:t>
      </w:r>
    </w:p>
    <w:p w:rsidR="00260CA7" w:rsidRDefault="006915E7" w:rsidP="003C5D77">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הקטין טען, כי כאשר נולד לא היתה אפשרות לקבל צו הורות פסיקתי ולכן קיימת הצדקה להסתמך על ההסכם ואולם, </w:t>
      </w:r>
      <w:r w:rsidR="00CB417C" w:rsidRPr="0014425D">
        <w:rPr>
          <w:rFonts w:ascii="Arial" w:hAnsi="Arial" w:hint="cs"/>
          <w:noProof w:val="0"/>
          <w:rtl/>
        </w:rPr>
        <w:t>ב</w:t>
      </w:r>
      <w:r w:rsidR="00CB417C" w:rsidRPr="0014425D">
        <w:rPr>
          <w:rFonts w:ascii="Arial" w:hAnsi="Arial" w:hint="cs"/>
          <w:b/>
          <w:bCs/>
          <w:noProof w:val="0"/>
          <w:rtl/>
        </w:rPr>
        <w:t>ענין פלוני</w:t>
      </w:r>
      <w:r w:rsidR="00CB417C" w:rsidRPr="0014425D">
        <w:rPr>
          <w:rFonts w:ascii="Arial" w:hAnsi="Arial" w:hint="cs"/>
          <w:noProof w:val="0"/>
          <w:rtl/>
        </w:rPr>
        <w:t xml:space="preserve">, </w:t>
      </w:r>
      <w:r>
        <w:rPr>
          <w:rFonts w:ascii="Arial" w:hAnsi="Arial" w:hint="cs"/>
          <w:noProof w:val="0"/>
          <w:rtl/>
        </w:rPr>
        <w:t xml:space="preserve">נקבע, </w:t>
      </w:r>
      <w:r w:rsidR="00A1057A">
        <w:rPr>
          <w:rFonts w:ascii="Arial" w:hAnsi="Arial" w:hint="cs"/>
          <w:noProof w:val="0"/>
          <w:rtl/>
        </w:rPr>
        <w:t xml:space="preserve">במפורש ובצורה ברורה, </w:t>
      </w:r>
      <w:r w:rsidR="00CB417C" w:rsidRPr="0014425D">
        <w:rPr>
          <w:rFonts w:ascii="Arial" w:hAnsi="Arial" w:hint="cs"/>
          <w:noProof w:val="0"/>
          <w:rtl/>
        </w:rPr>
        <w:t>כי בטרם פותחה בפסיקה האפשרות ל</w:t>
      </w:r>
      <w:r w:rsidR="0014425D" w:rsidRPr="0014425D">
        <w:rPr>
          <w:rFonts w:ascii="Arial" w:hAnsi="Arial" w:hint="cs"/>
          <w:noProof w:val="0"/>
          <w:rtl/>
        </w:rPr>
        <w:t>יתן צו הורות פסיקתי, בכדי לקבוע הורות היה על</w:t>
      </w:r>
      <w:r w:rsidR="00CB417C" w:rsidRPr="0014425D">
        <w:rPr>
          <w:rFonts w:ascii="Arial" w:hAnsi="Arial" w:hint="cs"/>
          <w:noProof w:val="0"/>
          <w:rtl/>
        </w:rPr>
        <w:t xml:space="preserve"> ההורה הלא ביולוגי </w:t>
      </w:r>
      <w:r w:rsidR="00CB417C" w:rsidRPr="0014425D">
        <w:rPr>
          <w:rFonts w:ascii="Arial" w:hAnsi="Arial" w:hint="cs"/>
          <w:noProof w:val="0"/>
          <w:rtl/>
        </w:rPr>
        <w:lastRenderedPageBreak/>
        <w:t>לפנות להליך אימוץ לצורך הסדרת הורות</w:t>
      </w:r>
      <w:r w:rsidR="0014425D" w:rsidRPr="0014425D">
        <w:rPr>
          <w:rFonts w:ascii="Arial" w:hAnsi="Arial" w:hint="cs"/>
          <w:noProof w:val="0"/>
          <w:rtl/>
        </w:rPr>
        <w:t xml:space="preserve">. </w:t>
      </w:r>
      <w:r w:rsidR="003C5D77">
        <w:rPr>
          <w:rFonts w:ascii="Arial" w:hAnsi="Arial" w:hint="cs"/>
          <w:noProof w:val="0"/>
          <w:rtl/>
        </w:rPr>
        <w:t>כלומר, גם במצב שקדם לפיתוח</w:t>
      </w:r>
      <w:r>
        <w:rPr>
          <w:rFonts w:ascii="Arial" w:hAnsi="Arial" w:hint="cs"/>
          <w:noProof w:val="0"/>
          <w:rtl/>
        </w:rPr>
        <w:t xml:space="preserve"> צו ההורות הפסיקתי, נדרשה היתה הכרעה שיפוטית ולא ניתן היה להסתפק בגיבוש הסכמות</w:t>
      </w:r>
      <w:r w:rsidR="001E7370">
        <w:rPr>
          <w:rFonts w:ascii="Arial" w:hAnsi="Arial" w:hint="cs"/>
          <w:noProof w:val="0"/>
          <w:rtl/>
        </w:rPr>
        <w:t xml:space="preserve"> כדי לקבוע הורות</w:t>
      </w:r>
      <w:r>
        <w:rPr>
          <w:rFonts w:ascii="Arial" w:hAnsi="Arial" w:hint="cs"/>
          <w:noProof w:val="0"/>
          <w:rtl/>
        </w:rPr>
        <w:t xml:space="preserve">. </w:t>
      </w:r>
    </w:p>
    <w:p w:rsidR="00D03E43" w:rsidRDefault="00D03E43" w:rsidP="001A0974">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מעבר לאמור, יש קושי לקבל את הטענה שיש להכיר בהורות המנוח על אף שלא פעל להסדרת הדברים שעה שהמנוח עצמו, במסגרת ההליכים שנוהלו נגד האֵם טען כי הוא אינו אביו של הקטין וכי אין לחייבו בחיובים הנובעים מאבהות שכן "</w:t>
      </w:r>
      <w:r w:rsidRPr="001E7370">
        <w:rPr>
          <w:rFonts w:ascii="Arial" w:hAnsi="Arial" w:hint="cs"/>
          <w:b/>
          <w:bCs/>
          <w:noProof w:val="0"/>
          <w:rtl/>
        </w:rPr>
        <w:t>יחסי אבהות המקימים סטאטוס נוצרים רק כתוצאה של אבהות ביולוגית או אימוץ כדין, על פי צו בית משפט</w:t>
      </w:r>
      <w:r>
        <w:rPr>
          <w:rFonts w:ascii="Arial" w:hAnsi="Arial" w:hint="cs"/>
          <w:noProof w:val="0"/>
          <w:rtl/>
        </w:rPr>
        <w:t xml:space="preserve">" (כך, מפי המנוח בסיכומים בתביעת המזונות). </w:t>
      </w:r>
    </w:p>
    <w:p w:rsidR="003C5D77" w:rsidRDefault="002643DE" w:rsidP="001E737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נוסף</w:t>
      </w:r>
      <w:r w:rsidR="001E7370">
        <w:rPr>
          <w:rFonts w:ascii="Arial" w:hAnsi="Arial" w:hint="cs"/>
          <w:noProof w:val="0"/>
          <w:rtl/>
        </w:rPr>
        <w:t xml:space="preserve"> על האמור</w:t>
      </w:r>
      <w:r>
        <w:rPr>
          <w:rFonts w:ascii="Arial" w:hAnsi="Arial" w:hint="cs"/>
          <w:noProof w:val="0"/>
          <w:rtl/>
        </w:rPr>
        <w:t xml:space="preserve">, </w:t>
      </w:r>
      <w:r w:rsidR="003F6D6F">
        <w:rPr>
          <w:rFonts w:ascii="Arial" w:hAnsi="Arial" w:hint="cs"/>
          <w:noProof w:val="0"/>
          <w:rtl/>
        </w:rPr>
        <w:t xml:space="preserve">מלבד הקושי להכיר בהורות לצרכי </w:t>
      </w:r>
      <w:r w:rsidR="001E7370">
        <w:rPr>
          <w:rFonts w:ascii="Arial" w:hAnsi="Arial" w:hint="cs"/>
          <w:noProof w:val="0"/>
          <w:rtl/>
        </w:rPr>
        <w:t>י</w:t>
      </w:r>
      <w:r w:rsidR="003F6D6F">
        <w:rPr>
          <w:rFonts w:ascii="Arial" w:hAnsi="Arial" w:hint="cs"/>
          <w:noProof w:val="0"/>
          <w:rtl/>
        </w:rPr>
        <w:t>ר</w:t>
      </w:r>
      <w:r w:rsidR="001E7370">
        <w:rPr>
          <w:rFonts w:ascii="Arial" w:hAnsi="Arial" w:hint="cs"/>
          <w:noProof w:val="0"/>
          <w:rtl/>
        </w:rPr>
        <w:t>ו</w:t>
      </w:r>
      <w:r w:rsidR="003F6D6F">
        <w:rPr>
          <w:rFonts w:ascii="Arial" w:hAnsi="Arial" w:hint="cs"/>
          <w:noProof w:val="0"/>
          <w:rtl/>
        </w:rPr>
        <w:t>שה כמתקיימת במצב של תרומת זרע מבלי שניתן צו מתאים, ממילא ספק אם במקרה בו ניתן צו הורות פסיקתי נכלל ה</w:t>
      </w:r>
      <w:r w:rsidR="001E7370">
        <w:rPr>
          <w:rFonts w:ascii="Arial" w:hAnsi="Arial" w:hint="cs"/>
          <w:noProof w:val="0"/>
          <w:rtl/>
        </w:rPr>
        <w:t>ילד שנולד</w:t>
      </w:r>
      <w:r w:rsidR="003F6D6F">
        <w:rPr>
          <w:rFonts w:ascii="Arial" w:hAnsi="Arial" w:hint="cs"/>
          <w:noProof w:val="0"/>
          <w:rtl/>
        </w:rPr>
        <w:t xml:space="preserve"> בגדר הגדרת "ילד" בסעיף 10 לחוק הירושה</w:t>
      </w:r>
      <w:r w:rsidR="001E7370">
        <w:rPr>
          <w:rFonts w:ascii="Arial" w:hAnsi="Arial" w:hint="cs"/>
          <w:noProof w:val="0"/>
          <w:rtl/>
        </w:rPr>
        <w:t>;</w:t>
      </w:r>
      <w:r w:rsidR="003F6D6F">
        <w:rPr>
          <w:rFonts w:ascii="Arial" w:hAnsi="Arial" w:hint="cs"/>
          <w:noProof w:val="0"/>
          <w:rtl/>
        </w:rPr>
        <w:t xml:space="preserve"> והמלומדים קוראים למחוקק להסדיר ענין זה במסגרת הרפורמה הצפויה בדיני הירושה כדי להשוות מעמדו של ילד שניתן בעניינו צו הורות פסיקתי למעמדו של ילד מאומץ בהקשר של ירושה דין (י. מרגלית, </w:t>
      </w:r>
      <w:r w:rsidR="003F6D6F">
        <w:rPr>
          <w:rFonts w:ascii="Arial" w:hAnsi="Arial" w:hint="cs"/>
          <w:b/>
          <w:bCs/>
          <w:noProof w:val="0"/>
          <w:rtl/>
        </w:rPr>
        <w:t xml:space="preserve">עשור למהפכת צווי ההורות הפסיקתיים - דילמות ואתגרים בין דת לדין, </w:t>
      </w:r>
      <w:r w:rsidR="003F6D6F">
        <w:rPr>
          <w:rFonts w:ascii="Arial" w:hAnsi="Arial" w:hint="cs"/>
          <w:noProof w:val="0"/>
          <w:rtl/>
        </w:rPr>
        <w:t>חוקים</w:t>
      </w:r>
      <w:r w:rsidR="00A92C13">
        <w:rPr>
          <w:rFonts w:ascii="Arial" w:hAnsi="Arial" w:hint="cs"/>
          <w:noProof w:val="0"/>
          <w:rtl/>
        </w:rPr>
        <w:t xml:space="preserve"> כ' (2024))</w:t>
      </w:r>
      <w:r w:rsidR="003F6D6F">
        <w:rPr>
          <w:rFonts w:ascii="Arial" w:hAnsi="Arial" w:hint="cs"/>
          <w:noProof w:val="0"/>
          <w:rtl/>
        </w:rPr>
        <w:t>)</w:t>
      </w:r>
      <w:r w:rsidR="00A92C13">
        <w:rPr>
          <w:rFonts w:ascii="Arial" w:hAnsi="Arial" w:hint="cs"/>
          <w:noProof w:val="0"/>
          <w:rtl/>
        </w:rPr>
        <w:t xml:space="preserve">. </w:t>
      </w:r>
    </w:p>
    <w:p w:rsidR="00A92C13" w:rsidRDefault="00A92C13" w:rsidP="003C5D77">
      <w:pPr>
        <w:pStyle w:val="ad"/>
        <w:spacing w:after="120" w:line="360" w:lineRule="auto"/>
        <w:ind w:left="567"/>
        <w:contextualSpacing w:val="0"/>
        <w:jc w:val="both"/>
        <w:rPr>
          <w:rFonts w:ascii="Arial" w:hAnsi="Arial"/>
          <w:noProof w:val="0"/>
        </w:rPr>
      </w:pPr>
      <w:r>
        <w:rPr>
          <w:rFonts w:ascii="Arial" w:hAnsi="Arial" w:hint="cs"/>
          <w:noProof w:val="0"/>
          <w:rtl/>
        </w:rPr>
        <w:t>כך</w:t>
      </w:r>
      <w:r w:rsidR="003C5D77">
        <w:rPr>
          <w:rFonts w:ascii="Arial" w:hAnsi="Arial" w:hint="cs"/>
          <w:noProof w:val="0"/>
          <w:rtl/>
        </w:rPr>
        <w:t xml:space="preserve">, </w:t>
      </w:r>
      <w:r>
        <w:rPr>
          <w:rFonts w:ascii="Arial" w:hAnsi="Arial" w:hint="cs"/>
          <w:noProof w:val="0"/>
          <w:rtl/>
        </w:rPr>
        <w:t>כל הדיון ביחס למשמעות אי תחולת האפשרות של מתן צו הורות</w:t>
      </w:r>
      <w:r w:rsidR="004A4908">
        <w:rPr>
          <w:rFonts w:ascii="Arial" w:hAnsi="Arial" w:hint="cs"/>
          <w:noProof w:val="0"/>
          <w:rtl/>
        </w:rPr>
        <w:t xml:space="preserve"> פסיקתי במועד בו נולד הקטין</w:t>
      </w:r>
      <w:r>
        <w:rPr>
          <w:rFonts w:ascii="Arial" w:hAnsi="Arial" w:hint="cs"/>
          <w:noProof w:val="0"/>
          <w:rtl/>
        </w:rPr>
        <w:t xml:space="preserve"> הוא תיאורטי שכן ממילא, בשלב זה, שעה שההתייחסות בחוק הירושה היא לילד ביולוגי או מאומץ בלבד, יהיה קושי ממשי לקבוע החלת המונח ילד גם על הורות שנקבעה בצו מבלי שהדבר הוסדר על ידי המחוקק (אם כי יתכן שנפרצה הדרך </w:t>
      </w:r>
      <w:r w:rsidR="002643DE">
        <w:rPr>
          <w:rFonts w:ascii="Arial" w:hAnsi="Arial" w:hint="cs"/>
          <w:noProof w:val="0"/>
          <w:rtl/>
        </w:rPr>
        <w:t>ב</w:t>
      </w:r>
      <w:r>
        <w:rPr>
          <w:rFonts w:ascii="Arial" w:hAnsi="Arial" w:hint="cs"/>
          <w:noProof w:val="0"/>
          <w:rtl/>
        </w:rPr>
        <w:t xml:space="preserve">התייחסות בית המשפט העליון </w:t>
      </w:r>
      <w:r w:rsidRPr="003C5D77">
        <w:rPr>
          <w:rFonts w:ascii="Arial" w:hAnsi="Arial" w:hint="cs"/>
          <w:b/>
          <w:bCs/>
          <w:noProof w:val="0"/>
          <w:rtl/>
        </w:rPr>
        <w:t>בענין פלוני</w:t>
      </w:r>
      <w:r>
        <w:rPr>
          <w:rFonts w:ascii="Arial" w:hAnsi="Arial" w:hint="cs"/>
          <w:noProof w:val="0"/>
          <w:rtl/>
        </w:rPr>
        <w:t xml:space="preserve"> לצו הורות פסיקתי כמתייחס גם לסוגיות בענין ירושה, אולם הדבר אינו נדרש בהליך שלפנ</w:t>
      </w:r>
      <w:r w:rsidR="002643DE">
        <w:rPr>
          <w:rFonts w:ascii="Arial" w:hAnsi="Arial" w:hint="cs"/>
          <w:noProof w:val="0"/>
          <w:rtl/>
        </w:rPr>
        <w:t>יי</w:t>
      </w:r>
      <w:r w:rsidR="003C5D77">
        <w:rPr>
          <w:rFonts w:ascii="Arial" w:hAnsi="Arial" w:hint="cs"/>
          <w:noProof w:val="0"/>
          <w:rtl/>
        </w:rPr>
        <w:t>)</w:t>
      </w:r>
      <w:r>
        <w:rPr>
          <w:rFonts w:ascii="Arial" w:hAnsi="Arial" w:hint="cs"/>
          <w:noProof w:val="0"/>
          <w:rtl/>
        </w:rPr>
        <w:t>.</w:t>
      </w:r>
    </w:p>
    <w:p w:rsidR="002643DE" w:rsidRDefault="002643DE" w:rsidP="001A0974">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לסיכום פרק זה - </w:t>
      </w:r>
    </w:p>
    <w:p w:rsidR="004A4908" w:rsidRDefault="00A1057A" w:rsidP="00A1057A">
      <w:pPr>
        <w:pStyle w:val="ad"/>
        <w:spacing w:after="120" w:line="360" w:lineRule="auto"/>
        <w:ind w:left="567"/>
        <w:contextualSpacing w:val="0"/>
        <w:jc w:val="both"/>
        <w:rPr>
          <w:rFonts w:ascii="Arial" w:hAnsi="Arial"/>
          <w:noProof w:val="0"/>
          <w:rtl/>
        </w:rPr>
      </w:pPr>
      <w:r>
        <w:rPr>
          <w:rFonts w:ascii="Arial" w:hAnsi="Arial" w:hint="cs"/>
          <w:noProof w:val="0"/>
          <w:rtl/>
        </w:rPr>
        <w:t xml:space="preserve">הדין הישראלי אינו מכיר באפשרות של כינון יחסי הורות מכח הסכם בלבד. קיימות חלופות שעוגנו בחוק ובפסיקה בכדי לקבוע הורות בהיבט ההצהרתי והמכונן, אולם הסכם אינו אחד מהם. </w:t>
      </w:r>
    </w:p>
    <w:p w:rsidR="003F6D6F" w:rsidRDefault="00A1057A" w:rsidP="00A1057A">
      <w:pPr>
        <w:pStyle w:val="ad"/>
        <w:spacing w:after="120" w:line="360" w:lineRule="auto"/>
        <w:ind w:left="567"/>
        <w:contextualSpacing w:val="0"/>
        <w:jc w:val="both"/>
        <w:rPr>
          <w:rFonts w:ascii="Arial" w:hAnsi="Arial"/>
          <w:noProof w:val="0"/>
          <w:rtl/>
        </w:rPr>
      </w:pPr>
      <w:r>
        <w:rPr>
          <w:rFonts w:ascii="Arial" w:hAnsi="Arial" w:hint="cs"/>
          <w:noProof w:val="0"/>
          <w:rtl/>
        </w:rPr>
        <w:t xml:space="preserve">גם טרם פיתוח מוסד צו ההורות הפסיקתי לא הוכרה אפשרות של עיגון הורות בהסכם ולא ניתן לקבל את טענת הקטין כי ניתן לקרוא לתוך הוראות חוק הירושה אפשרות של ירושה על פי דין לילד שאינו ילדו הביולוגי של המנוח ולא אומץ על ידיו בהסתמך על הסכמות או הצהרת המנוח לנהוג כאב גם בהקשר של ירושה. </w:t>
      </w:r>
    </w:p>
    <w:p w:rsidR="00A1057A" w:rsidRDefault="00A1057A" w:rsidP="004A4908">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אוסיף, טרם סיום הדיון בענין זה, כי בית המשפט חש אי נוחות ממשית עם אופן ניסוח הנוהל שכן ההתייחסות לנשיאה בחובות מכח דיני הירושה אינה עולה בקנה </w:t>
      </w:r>
      <w:r w:rsidR="00740409">
        <w:rPr>
          <w:rFonts w:ascii="Arial" w:hAnsi="Arial" w:hint="cs"/>
          <w:noProof w:val="0"/>
          <w:rtl/>
        </w:rPr>
        <w:t xml:space="preserve">אחד (שלא לומר סותרת מפורשות) את הוראות חוק הירושה ויש בכך </w:t>
      </w:r>
      <w:r w:rsidR="004A4908">
        <w:rPr>
          <w:rFonts w:ascii="Arial" w:hAnsi="Arial" w:hint="cs"/>
          <w:noProof w:val="0"/>
          <w:rtl/>
        </w:rPr>
        <w:t xml:space="preserve">אפשרות של </w:t>
      </w:r>
      <w:r w:rsidR="00740409">
        <w:rPr>
          <w:rFonts w:ascii="Arial" w:hAnsi="Arial" w:hint="cs"/>
          <w:noProof w:val="0"/>
          <w:rtl/>
        </w:rPr>
        <w:t xml:space="preserve">הטעיה של הציבור וניתן להניח מצב </w:t>
      </w:r>
      <w:r w:rsidR="00740409">
        <w:rPr>
          <w:rFonts w:ascii="Arial" w:hAnsi="Arial" w:hint="cs"/>
          <w:noProof w:val="0"/>
          <w:rtl/>
        </w:rPr>
        <w:lastRenderedPageBreak/>
        <w:t xml:space="preserve">בו בן זוג שמתחייב בהתאם להוראות הנוהל מניח שענין הירושה הוסדר ולא נדרש להסדיר את רצונו בצוואה ובבוא העת, רצונו לא יבוטא שכן הוראות חוק הירושה לא יאפשרו הורשה לילד שנולד מתרומת הזרע. כך או כך, גם אם קיימת אי נוחות, ענין זה הוא ענין להסדרת המחוקק או הגופים הרלבנטיים שאמונים על החלת הנוהל. </w:t>
      </w:r>
    </w:p>
    <w:p w:rsidR="0014425D" w:rsidRDefault="00740409" w:rsidP="004A4908">
      <w:pPr>
        <w:pStyle w:val="ad"/>
        <w:numPr>
          <w:ilvl w:val="0"/>
          <w:numId w:val="2"/>
        </w:numPr>
        <w:spacing w:after="120" w:line="360" w:lineRule="auto"/>
        <w:ind w:left="567" w:hanging="567"/>
        <w:contextualSpacing w:val="0"/>
        <w:jc w:val="both"/>
        <w:rPr>
          <w:rFonts w:ascii="Arial" w:hAnsi="Arial"/>
          <w:b/>
          <w:bCs/>
          <w:noProof w:val="0"/>
          <w:u w:val="single"/>
        </w:rPr>
      </w:pPr>
      <w:r w:rsidRPr="00740409">
        <w:rPr>
          <w:rFonts w:ascii="Arial" w:hAnsi="Arial" w:hint="cs"/>
          <w:b/>
          <w:bCs/>
          <w:noProof w:val="0"/>
          <w:u w:val="single"/>
          <w:rtl/>
        </w:rPr>
        <w:t>האם רישום הקטין כבנו של המנוח מבססת את זכותו כיורש?</w:t>
      </w:r>
    </w:p>
    <w:p w:rsidR="00740409" w:rsidRDefault="00740409" w:rsidP="001A097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ביסוס נוסף להורות המנוח מצא הקטין בתעודת הלידה שלו</w:t>
      </w:r>
      <w:r w:rsidR="003C5D77">
        <w:rPr>
          <w:rFonts w:ascii="Arial" w:hAnsi="Arial" w:hint="cs"/>
          <w:noProof w:val="0"/>
          <w:rtl/>
        </w:rPr>
        <w:t xml:space="preserve"> ובתעודת הזהות של המנוח בהם מצו</w:t>
      </w:r>
      <w:r>
        <w:rPr>
          <w:rFonts w:ascii="Arial" w:hAnsi="Arial" w:hint="cs"/>
          <w:noProof w:val="0"/>
          <w:rtl/>
        </w:rPr>
        <w:t xml:space="preserve">ינים קשרי ההורות. </w:t>
      </w:r>
    </w:p>
    <w:p w:rsidR="00F343E9" w:rsidRDefault="004C3872" w:rsidP="001A097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חוק מרשם האוכלוסין, תשכ"ה-1965 </w:t>
      </w:r>
      <w:r w:rsidR="005A4BF9">
        <w:rPr>
          <w:rFonts w:ascii="Arial" w:hAnsi="Arial" w:hint="cs"/>
          <w:noProof w:val="0"/>
          <w:rtl/>
        </w:rPr>
        <w:t>(</w:t>
      </w:r>
      <w:r w:rsidR="005A4BF9">
        <w:rPr>
          <w:rFonts w:ascii="Arial" w:hAnsi="Arial" w:hint="cs"/>
          <w:b/>
          <w:bCs/>
          <w:noProof w:val="0"/>
          <w:rtl/>
        </w:rPr>
        <w:t>"חוק המרשם"</w:t>
      </w:r>
      <w:r w:rsidR="005A4BF9">
        <w:rPr>
          <w:rFonts w:ascii="Arial" w:hAnsi="Arial" w:hint="cs"/>
          <w:noProof w:val="0"/>
          <w:rtl/>
        </w:rPr>
        <w:t xml:space="preserve">) </w:t>
      </w:r>
      <w:r>
        <w:rPr>
          <w:rFonts w:ascii="Arial" w:hAnsi="Arial" w:hint="cs"/>
          <w:noProof w:val="0"/>
          <w:rtl/>
        </w:rPr>
        <w:t xml:space="preserve">קובע, כי </w:t>
      </w:r>
      <w:r>
        <w:rPr>
          <w:rFonts w:ascii="Arial" w:hAnsi="Arial" w:hint="cs"/>
          <w:b/>
          <w:bCs/>
          <w:noProof w:val="0"/>
          <w:rtl/>
        </w:rPr>
        <w:t>"שם אביו של ילד שנולד לאשה פנויה ירשם על פי הודעת האב והאם כאחד או על פי פסק דין של בית משפט או בית דין מוסמך"</w:t>
      </w:r>
      <w:r w:rsidR="00A37B9F">
        <w:rPr>
          <w:rFonts w:ascii="Arial" w:hAnsi="Arial" w:hint="cs"/>
          <w:noProof w:val="0"/>
          <w:rtl/>
        </w:rPr>
        <w:t xml:space="preserve">. </w:t>
      </w:r>
    </w:p>
    <w:p w:rsidR="00D50206" w:rsidRPr="00D50206" w:rsidRDefault="00D50206" w:rsidP="00D50206">
      <w:pPr>
        <w:pStyle w:val="ad"/>
        <w:spacing w:after="120" w:line="360" w:lineRule="auto"/>
        <w:ind w:left="567"/>
        <w:contextualSpacing w:val="0"/>
        <w:jc w:val="both"/>
        <w:rPr>
          <w:rFonts w:ascii="Arial" w:hAnsi="Arial"/>
          <w:b/>
          <w:bCs/>
          <w:noProof w:val="0"/>
          <w:rtl/>
        </w:rPr>
      </w:pPr>
      <w:r>
        <w:rPr>
          <w:rFonts w:ascii="Arial" w:hAnsi="Arial" w:hint="cs"/>
          <w:noProof w:val="0"/>
          <w:rtl/>
        </w:rPr>
        <w:t>עוד נקבע, כי "</w:t>
      </w:r>
      <w:r>
        <w:rPr>
          <w:rFonts w:ascii="Arial" w:hAnsi="Arial" w:hint="cs"/>
          <w:b/>
          <w:bCs/>
          <w:noProof w:val="0"/>
          <w:rtl/>
        </w:rPr>
        <w:t xml:space="preserve">מי שנולד בישראל והוא רשום במרשם, רשאי לקבל תעודת לידה" </w:t>
      </w:r>
      <w:r>
        <w:rPr>
          <w:rFonts w:ascii="Arial" w:hAnsi="Arial" w:hint="cs"/>
          <w:noProof w:val="0"/>
          <w:rtl/>
        </w:rPr>
        <w:t xml:space="preserve">וכי </w:t>
      </w:r>
      <w:r>
        <w:rPr>
          <w:rFonts w:ascii="Arial" w:hAnsi="Arial" w:hint="cs"/>
          <w:b/>
          <w:bCs/>
          <w:noProof w:val="0"/>
          <w:rtl/>
        </w:rPr>
        <w:t xml:space="preserve">"הרישום במרשם, כל העתק ממנו וכן כל תעודה שניתנה לפי חוק זה יהיו ראיה לכאורה לנכונות פרטי המרשם המפורטים בפסקאות (1) עד (4) ו-(9)-(13) לסעיף 2" </w:t>
      </w:r>
      <w:r>
        <w:rPr>
          <w:rFonts w:ascii="Arial" w:hAnsi="Arial" w:hint="cs"/>
          <w:noProof w:val="0"/>
          <w:rtl/>
        </w:rPr>
        <w:t>(ההתייחסות היא, ב</w:t>
      </w:r>
      <w:r w:rsidR="005A4BF9">
        <w:rPr>
          <w:rFonts w:ascii="Arial" w:hAnsi="Arial" w:hint="cs"/>
          <w:noProof w:val="0"/>
          <w:rtl/>
        </w:rPr>
        <w:t>ין היתר, לשמות הילדים ושמות ההורים)</w:t>
      </w:r>
      <w:r>
        <w:rPr>
          <w:rFonts w:ascii="Arial" w:hAnsi="Arial" w:hint="cs"/>
          <w:b/>
          <w:bCs/>
          <w:noProof w:val="0"/>
          <w:rtl/>
        </w:rPr>
        <w:t>.</w:t>
      </w:r>
    </w:p>
    <w:p w:rsidR="00C14204" w:rsidRDefault="00C14204" w:rsidP="001A097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הקטין מבקש להסתמך על </w:t>
      </w:r>
      <w:r w:rsidR="00D50206" w:rsidRPr="005A4BF9">
        <w:rPr>
          <w:rFonts w:ascii="Arial" w:hAnsi="Arial"/>
          <w:noProof w:val="0"/>
          <w:rtl/>
        </w:rPr>
        <w:t>בג</w:t>
      </w:r>
      <w:r w:rsidR="005A4BF9">
        <w:rPr>
          <w:rFonts w:ascii="Arial" w:hAnsi="Arial" w:hint="cs"/>
          <w:noProof w:val="0"/>
          <w:rtl/>
        </w:rPr>
        <w:t>"</w:t>
      </w:r>
      <w:r w:rsidR="00D50206" w:rsidRPr="005A4BF9">
        <w:rPr>
          <w:rFonts w:ascii="Arial" w:hAnsi="Arial"/>
          <w:noProof w:val="0"/>
          <w:rtl/>
        </w:rPr>
        <w:t xml:space="preserve">ץ 6483/05 </w:t>
      </w:r>
      <w:r w:rsidR="00D50206" w:rsidRPr="005A4BF9">
        <w:rPr>
          <w:rFonts w:ascii="Arial" w:hAnsi="Arial"/>
          <w:b/>
          <w:bCs/>
          <w:noProof w:val="0"/>
          <w:rtl/>
        </w:rPr>
        <w:t>קעדאן נ' שר הפנים</w:t>
      </w:r>
      <w:r w:rsidR="00D50206" w:rsidRPr="005A4BF9">
        <w:rPr>
          <w:rFonts w:ascii="Arial" w:hAnsi="Arial" w:hint="cs"/>
          <w:noProof w:val="0"/>
          <w:rtl/>
        </w:rPr>
        <w:t xml:space="preserve"> (9.8.2010) </w:t>
      </w:r>
      <w:r>
        <w:rPr>
          <w:rFonts w:ascii="Arial" w:hAnsi="Arial" w:hint="cs"/>
          <w:noProof w:val="0"/>
          <w:rtl/>
        </w:rPr>
        <w:t>כדי לקבל את עמדתו בענין מעמדו של המרשם.</w:t>
      </w:r>
    </w:p>
    <w:p w:rsidR="00C14204" w:rsidRDefault="00C14204" w:rsidP="00C14204">
      <w:pPr>
        <w:pStyle w:val="ad"/>
        <w:spacing w:after="120" w:line="360" w:lineRule="auto"/>
        <w:ind w:left="567"/>
        <w:contextualSpacing w:val="0"/>
        <w:jc w:val="both"/>
        <w:rPr>
          <w:rFonts w:ascii="Arial" w:hAnsi="Arial"/>
          <w:noProof w:val="0"/>
          <w:rtl/>
        </w:rPr>
      </w:pPr>
      <w:r>
        <w:rPr>
          <w:rFonts w:ascii="Arial" w:hAnsi="Arial" w:hint="cs"/>
          <w:noProof w:val="0"/>
          <w:rtl/>
        </w:rPr>
        <w:t xml:space="preserve">עמדתו זו של הקטין אינה ברורה לי. </w:t>
      </w:r>
    </w:p>
    <w:p w:rsidR="00D50206" w:rsidRDefault="00C14204" w:rsidP="00C14204">
      <w:pPr>
        <w:pStyle w:val="ad"/>
        <w:spacing w:after="120" w:line="360" w:lineRule="auto"/>
        <w:ind w:left="567"/>
        <w:contextualSpacing w:val="0"/>
        <w:jc w:val="both"/>
        <w:rPr>
          <w:rFonts w:ascii="Arial" w:hAnsi="Arial"/>
          <w:noProof w:val="0"/>
          <w:rtl/>
        </w:rPr>
      </w:pPr>
      <w:r>
        <w:rPr>
          <w:rFonts w:ascii="Arial" w:hAnsi="Arial" w:hint="cs"/>
          <w:noProof w:val="0"/>
          <w:rtl/>
        </w:rPr>
        <w:t xml:space="preserve">ראשית, בענין האמור </w:t>
      </w:r>
      <w:r w:rsidR="004A4908">
        <w:rPr>
          <w:rFonts w:ascii="Arial" w:hAnsi="Arial" w:hint="cs"/>
          <w:noProof w:val="0"/>
          <w:rtl/>
        </w:rPr>
        <w:t>ק</w:t>
      </w:r>
      <w:r w:rsidR="005A4BF9">
        <w:rPr>
          <w:rFonts w:ascii="Arial" w:hAnsi="Arial" w:hint="cs"/>
          <w:noProof w:val="0"/>
          <w:rtl/>
        </w:rPr>
        <w:t>בע בית המשפט</w:t>
      </w:r>
      <w:r w:rsidR="004A4908">
        <w:rPr>
          <w:rFonts w:ascii="Arial" w:hAnsi="Arial" w:hint="cs"/>
          <w:noProof w:val="0"/>
          <w:rtl/>
        </w:rPr>
        <w:t>,</w:t>
      </w:r>
      <w:r w:rsidR="005A4BF9">
        <w:rPr>
          <w:rFonts w:ascii="Arial" w:hAnsi="Arial" w:hint="cs"/>
          <w:noProof w:val="0"/>
          <w:rtl/>
        </w:rPr>
        <w:t xml:space="preserve"> כי "</w:t>
      </w:r>
      <w:r w:rsidR="005A4BF9" w:rsidRPr="00E86C2D">
        <w:rPr>
          <w:rFonts w:ascii="Arial" w:hAnsi="Arial" w:hint="cs"/>
          <w:b/>
          <w:bCs/>
          <w:noProof w:val="0"/>
          <w:rtl/>
        </w:rPr>
        <w:t>רישום פרטי ילדים במרשם אמור לשקף הורות ביולוגית של אב ואם לילדיהם (או הורות מכח צו אימוץ..</w:t>
      </w:r>
      <w:r w:rsidR="005A4BF9">
        <w:rPr>
          <w:rFonts w:ascii="Arial" w:hAnsi="Arial" w:hint="cs"/>
          <w:noProof w:val="0"/>
          <w:rtl/>
        </w:rPr>
        <w:t>.)"</w:t>
      </w:r>
      <w:r>
        <w:rPr>
          <w:rFonts w:ascii="Arial" w:hAnsi="Arial" w:hint="cs"/>
          <w:noProof w:val="0"/>
          <w:rtl/>
        </w:rPr>
        <w:t xml:space="preserve"> וכי </w:t>
      </w:r>
      <w:r w:rsidR="00E86C2D">
        <w:rPr>
          <w:rFonts w:ascii="Arial" w:hAnsi="Arial" w:hint="cs"/>
          <w:noProof w:val="0"/>
          <w:rtl/>
        </w:rPr>
        <w:t>"</w:t>
      </w:r>
      <w:r w:rsidR="00E86C2D" w:rsidRPr="00E86C2D">
        <w:rPr>
          <w:rFonts w:ascii="Arial" w:hAnsi="Arial" w:hint="cs"/>
          <w:b/>
          <w:bCs/>
          <w:noProof w:val="0"/>
          <w:rtl/>
        </w:rPr>
        <w:t>בענין פרטי הורות, הדגש בחוק המרשם הוא על קיום ראיות אובייקטיביות להוכחת הקשר הביולוגי בין מבקש הרישום לבין הילד... מטרת רישום פרטי ההורות לילדים במרשם האוכלוסין היא אפוא, לשקף את ההורות הביולוגית של האם והאב לילדיהם</w:t>
      </w:r>
      <w:r w:rsidR="00E86C2D">
        <w:rPr>
          <w:rFonts w:ascii="Arial" w:hAnsi="Arial" w:hint="cs"/>
          <w:noProof w:val="0"/>
          <w:rtl/>
        </w:rPr>
        <w:t xml:space="preserve">". </w:t>
      </w:r>
      <w:r w:rsidR="005A4BF9">
        <w:rPr>
          <w:rFonts w:ascii="Arial" w:hAnsi="Arial" w:hint="cs"/>
          <w:noProof w:val="0"/>
          <w:rtl/>
        </w:rPr>
        <w:t xml:space="preserve"> </w:t>
      </w:r>
    </w:p>
    <w:p w:rsidR="00C14204" w:rsidRDefault="00C14204" w:rsidP="004A4908">
      <w:pPr>
        <w:pStyle w:val="ad"/>
        <w:spacing w:after="120" w:line="360" w:lineRule="auto"/>
        <w:ind w:left="567"/>
        <w:contextualSpacing w:val="0"/>
        <w:jc w:val="both"/>
        <w:rPr>
          <w:rFonts w:ascii="Arial" w:hAnsi="Arial"/>
          <w:noProof w:val="0"/>
          <w:rtl/>
        </w:rPr>
      </w:pPr>
      <w:r>
        <w:rPr>
          <w:rFonts w:ascii="Arial" w:hAnsi="Arial" w:hint="cs"/>
          <w:noProof w:val="0"/>
          <w:rtl/>
        </w:rPr>
        <w:t xml:space="preserve">כלומר באותו ענין בית המשפט נתן דגש על התנאי של </w:t>
      </w:r>
      <w:r w:rsidRPr="004A4908">
        <w:rPr>
          <w:rFonts w:ascii="Arial" w:hAnsi="Arial" w:hint="cs"/>
          <w:noProof w:val="0"/>
          <w:u w:val="single"/>
          <w:rtl/>
        </w:rPr>
        <w:t>הורות ביולוגית</w:t>
      </w:r>
      <w:r>
        <w:rPr>
          <w:rFonts w:ascii="Arial" w:hAnsi="Arial" w:hint="cs"/>
          <w:noProof w:val="0"/>
          <w:rtl/>
        </w:rPr>
        <w:t xml:space="preserve"> לשם המרשם כך שהדבר אינו משרת את הקטין</w:t>
      </w:r>
      <w:r w:rsidR="003C5D77">
        <w:rPr>
          <w:rFonts w:ascii="Arial" w:hAnsi="Arial" w:hint="cs"/>
          <w:noProof w:val="0"/>
          <w:rtl/>
        </w:rPr>
        <w:t xml:space="preserve"> וסותר את טענותיו. אוסיף</w:t>
      </w:r>
      <w:r>
        <w:rPr>
          <w:rFonts w:ascii="Arial" w:hAnsi="Arial" w:hint="cs"/>
          <w:noProof w:val="0"/>
          <w:rtl/>
        </w:rPr>
        <w:t xml:space="preserve">, </w:t>
      </w:r>
      <w:r w:rsidR="003C5D77">
        <w:rPr>
          <w:rFonts w:ascii="Arial" w:hAnsi="Arial" w:hint="cs"/>
          <w:noProof w:val="0"/>
          <w:rtl/>
        </w:rPr>
        <w:t xml:space="preserve">כי </w:t>
      </w:r>
      <w:r w:rsidR="004A4908">
        <w:rPr>
          <w:rFonts w:ascii="Arial" w:hAnsi="Arial" w:hint="cs"/>
          <w:noProof w:val="0"/>
          <w:rtl/>
        </w:rPr>
        <w:t xml:space="preserve">בפסיקה מאוחרת עלה ספק האם, </w:t>
      </w:r>
      <w:r>
        <w:rPr>
          <w:rFonts w:ascii="Arial" w:hAnsi="Arial" w:hint="cs"/>
          <w:noProof w:val="0"/>
          <w:rtl/>
        </w:rPr>
        <w:t xml:space="preserve">לאור התמורות שחלו בשנים שחלפו, עמדה זו משקפת את מהות המרשם בימינו </w:t>
      </w:r>
      <w:r w:rsidRPr="00093AF9">
        <w:rPr>
          <w:rFonts w:ascii="Arial" w:hAnsi="Arial" w:hint="cs"/>
          <w:noProof w:val="0"/>
          <w:rtl/>
        </w:rPr>
        <w:t>(</w:t>
      </w:r>
      <w:r w:rsidR="0065356F" w:rsidRPr="00093AF9">
        <w:rPr>
          <w:rFonts w:ascii="Arial" w:hAnsi="Arial" w:hint="cs"/>
          <w:noProof w:val="0"/>
          <w:rtl/>
        </w:rPr>
        <w:t xml:space="preserve">כבוד השופט הנדל בבג"צ 4635/16 </w:t>
      </w:r>
      <w:r w:rsidR="0065356F" w:rsidRPr="00093AF9">
        <w:rPr>
          <w:rFonts w:ascii="Arial" w:hAnsi="Arial" w:hint="cs"/>
          <w:b/>
          <w:bCs/>
          <w:noProof w:val="0"/>
          <w:rtl/>
        </w:rPr>
        <w:t xml:space="preserve">צור וייסלברג נ' מרשם האוכלוסין </w:t>
      </w:r>
      <w:r w:rsidR="00093AF9" w:rsidRPr="00093AF9">
        <w:rPr>
          <w:rFonts w:ascii="Arial" w:hAnsi="Arial" w:hint="cs"/>
          <w:b/>
          <w:bCs/>
          <w:noProof w:val="0"/>
          <w:rtl/>
        </w:rPr>
        <w:t>במשרד הפנים</w:t>
      </w:r>
      <w:r w:rsidR="00093AF9" w:rsidRPr="00093AF9">
        <w:rPr>
          <w:rFonts w:ascii="Arial" w:hAnsi="Arial" w:hint="cs"/>
          <w:noProof w:val="0"/>
          <w:rtl/>
        </w:rPr>
        <w:t xml:space="preserve"> (26.7.2020)</w:t>
      </w:r>
      <w:r w:rsidR="00093AF9">
        <w:rPr>
          <w:rFonts w:ascii="Arial" w:hAnsi="Arial" w:hint="cs"/>
          <w:noProof w:val="0"/>
          <w:rtl/>
        </w:rPr>
        <w:t xml:space="preserve">; </w:t>
      </w:r>
      <w:r w:rsidR="00093AF9">
        <w:rPr>
          <w:rFonts w:ascii="Arial" w:hAnsi="Arial" w:hint="cs"/>
          <w:b/>
          <w:bCs/>
          <w:noProof w:val="0"/>
          <w:rtl/>
        </w:rPr>
        <w:t>"ענין צור-וייסלברג"</w:t>
      </w:r>
      <w:r w:rsidRPr="00093AF9">
        <w:rPr>
          <w:rFonts w:ascii="Arial" w:hAnsi="Arial" w:hint="cs"/>
          <w:noProof w:val="0"/>
          <w:rtl/>
        </w:rPr>
        <w:t>)</w:t>
      </w:r>
      <w:r w:rsidR="00093AF9">
        <w:rPr>
          <w:rFonts w:ascii="Arial" w:hAnsi="Arial" w:hint="cs"/>
          <w:noProof w:val="0"/>
          <w:rtl/>
        </w:rPr>
        <w:t>.</w:t>
      </w:r>
    </w:p>
    <w:p w:rsidR="000D29AB" w:rsidRDefault="000F544E" w:rsidP="001A0974">
      <w:pPr>
        <w:pStyle w:val="ad"/>
        <w:numPr>
          <w:ilvl w:val="0"/>
          <w:numId w:val="1"/>
        </w:numPr>
        <w:spacing w:after="120" w:line="360" w:lineRule="auto"/>
        <w:ind w:left="567" w:hanging="567"/>
        <w:contextualSpacing w:val="0"/>
        <w:jc w:val="both"/>
        <w:rPr>
          <w:rFonts w:ascii="Arial" w:hAnsi="Arial"/>
          <w:noProof w:val="0"/>
          <w:rtl/>
        </w:rPr>
      </w:pPr>
      <w:r w:rsidRPr="003C5D77">
        <w:rPr>
          <w:rFonts w:ascii="Arial" w:hAnsi="Arial" w:hint="cs"/>
          <w:b/>
          <w:bCs/>
          <w:noProof w:val="0"/>
          <w:rtl/>
        </w:rPr>
        <w:t xml:space="preserve">בענין </w:t>
      </w:r>
      <w:r w:rsidR="00C14204" w:rsidRPr="003C5D77">
        <w:rPr>
          <w:rFonts w:ascii="Arial" w:hAnsi="Arial" w:hint="cs"/>
          <w:b/>
          <w:bCs/>
          <w:noProof w:val="0"/>
          <w:rtl/>
        </w:rPr>
        <w:t>פלוני</w:t>
      </w:r>
      <w:r w:rsidR="00C14204">
        <w:rPr>
          <w:rFonts w:ascii="Arial" w:hAnsi="Arial" w:hint="cs"/>
          <w:noProof w:val="0"/>
          <w:rtl/>
        </w:rPr>
        <w:t xml:space="preserve"> </w:t>
      </w:r>
      <w:r w:rsidR="00093AF9">
        <w:rPr>
          <w:rFonts w:ascii="Arial" w:hAnsi="Arial" w:hint="cs"/>
          <w:noProof w:val="0"/>
          <w:rtl/>
        </w:rPr>
        <w:t>קבע</w:t>
      </w:r>
      <w:r w:rsidR="00C14204">
        <w:rPr>
          <w:rFonts w:ascii="Arial" w:hAnsi="Arial" w:hint="cs"/>
          <w:noProof w:val="0"/>
          <w:rtl/>
        </w:rPr>
        <w:t xml:space="preserve"> בית המשפט, כך:</w:t>
      </w:r>
    </w:p>
    <w:p w:rsidR="003C5D77" w:rsidRDefault="00C14204" w:rsidP="003C5D77">
      <w:pPr>
        <w:pStyle w:val="ad"/>
        <w:spacing w:after="120" w:line="360" w:lineRule="auto"/>
        <w:ind w:left="1134" w:right="567"/>
        <w:contextualSpacing w:val="0"/>
        <w:jc w:val="both"/>
        <w:rPr>
          <w:rFonts w:ascii="Arial" w:hAnsi="Arial"/>
          <w:b/>
          <w:bCs/>
          <w:noProof w:val="0"/>
          <w:rtl/>
        </w:rPr>
      </w:pPr>
      <w:r w:rsidRPr="00093AF9">
        <w:rPr>
          <w:rFonts w:ascii="Arial" w:hAnsi="Arial" w:hint="cs"/>
          <w:b/>
          <w:bCs/>
          <w:noProof w:val="0"/>
          <w:rtl/>
        </w:rPr>
        <w:lastRenderedPageBreak/>
        <w:t>"</w:t>
      </w:r>
      <w:r w:rsidRPr="00093AF9">
        <w:rPr>
          <w:rFonts w:ascii="Arial" w:hAnsi="Arial"/>
          <w:b/>
          <w:bCs/>
          <w:noProof w:val="0"/>
          <w:rtl/>
        </w:rPr>
        <w:t>מרשם האוכלוסין נועד לשקף את ההיבט המשפטי של פרט ההורות</w:t>
      </w:r>
      <w:r w:rsidR="003C5D77">
        <w:rPr>
          <w:rFonts w:ascii="Arial" w:hAnsi="Arial" w:hint="cs"/>
          <w:b/>
          <w:bCs/>
          <w:noProof w:val="0"/>
          <w:rtl/>
        </w:rPr>
        <w:t>...</w:t>
      </w:r>
      <w:r w:rsidRPr="00093AF9">
        <w:rPr>
          <w:rFonts w:ascii="Arial" w:hAnsi="Arial"/>
          <w:b/>
          <w:bCs/>
          <w:noProof w:val="0"/>
          <w:rtl/>
        </w:rPr>
        <w:t xml:space="preserve"> במילים אחרות, המרשם נועד לשקף את ההכרה המשפטית בהורות על בסיס כל אחד מהאדנים המוכרים בדין: הורות פיזיולוגית; הורות גנטית; הורות מכוח אימוץ; והורות מכוח "זיקה לזיקה". </w:t>
      </w:r>
    </w:p>
    <w:p w:rsidR="00C14204" w:rsidRPr="00093AF9" w:rsidRDefault="00C14204" w:rsidP="003C5D77">
      <w:pPr>
        <w:pStyle w:val="ad"/>
        <w:spacing w:after="120" w:line="360" w:lineRule="auto"/>
        <w:ind w:left="1134" w:right="567"/>
        <w:contextualSpacing w:val="0"/>
        <w:jc w:val="both"/>
        <w:rPr>
          <w:rFonts w:ascii="Arial" w:hAnsi="Arial"/>
          <w:b/>
          <w:bCs/>
          <w:noProof w:val="0"/>
          <w:rtl/>
        </w:rPr>
      </w:pPr>
      <w:r w:rsidRPr="00093AF9">
        <w:rPr>
          <w:rFonts w:ascii="Arial" w:hAnsi="Arial"/>
          <w:b/>
          <w:bCs/>
          <w:noProof w:val="0"/>
          <w:rtl/>
        </w:rPr>
        <w:t>בהקשר זה יובהר כי יהא אשר יהא האדן שמכוחו מוכרת ההורות, רישום ההורות במרשם האוכלוסין יופיע באופן זהה, ללא כל הבחנה בין הורות ביולוגית להורות שאינה ביולוגית</w:t>
      </w:r>
      <w:r w:rsidR="001B105E" w:rsidRPr="00093AF9">
        <w:rPr>
          <w:rFonts w:ascii="Arial" w:hAnsi="Arial" w:hint="cs"/>
          <w:b/>
          <w:bCs/>
          <w:noProof w:val="0"/>
          <w:rtl/>
        </w:rPr>
        <w:t>"</w:t>
      </w:r>
    </w:p>
    <w:p w:rsidR="00093AF9" w:rsidRDefault="001B105E" w:rsidP="000D29AB">
      <w:pPr>
        <w:pStyle w:val="ad"/>
        <w:spacing w:after="120" w:line="360" w:lineRule="auto"/>
        <w:ind w:left="567"/>
        <w:contextualSpacing w:val="0"/>
        <w:jc w:val="both"/>
        <w:rPr>
          <w:rFonts w:ascii="Arial" w:hAnsi="Arial"/>
          <w:noProof w:val="0"/>
          <w:rtl/>
        </w:rPr>
      </w:pPr>
      <w:r>
        <w:rPr>
          <w:rFonts w:ascii="Arial" w:hAnsi="Arial" w:hint="cs"/>
          <w:noProof w:val="0"/>
          <w:rtl/>
        </w:rPr>
        <w:t xml:space="preserve">בית המשפט קובע, כי רישום אבהות במקרה של אישה פנויה על פי הודעה משותפת של בני זוג עניינו </w:t>
      </w:r>
      <w:r w:rsidRPr="00093AF9">
        <w:rPr>
          <w:rFonts w:ascii="Arial" w:hAnsi="Arial" w:hint="cs"/>
          <w:b/>
          <w:bCs/>
          <w:noProof w:val="0"/>
          <w:rtl/>
        </w:rPr>
        <w:t>בהורות ביולוגית</w:t>
      </w:r>
      <w:r>
        <w:rPr>
          <w:rFonts w:ascii="Arial" w:hAnsi="Arial" w:hint="cs"/>
          <w:noProof w:val="0"/>
          <w:rtl/>
        </w:rPr>
        <w:t xml:space="preserve"> שכן הכלל הוא שכל מקום בו נדרשת מעורבות </w:t>
      </w:r>
      <w:r w:rsidR="00093AF9">
        <w:rPr>
          <w:rFonts w:ascii="Arial" w:hAnsi="Arial" w:hint="cs"/>
          <w:noProof w:val="0"/>
          <w:rtl/>
        </w:rPr>
        <w:t>שיפוטי</w:t>
      </w:r>
      <w:r w:rsidR="00093AF9">
        <w:rPr>
          <w:rFonts w:ascii="Arial" w:hAnsi="Arial" w:hint="eastAsia"/>
          <w:noProof w:val="0"/>
          <w:rtl/>
        </w:rPr>
        <w:t>ת</w:t>
      </w:r>
      <w:r>
        <w:rPr>
          <w:rFonts w:ascii="Arial" w:hAnsi="Arial" w:hint="cs"/>
          <w:noProof w:val="0"/>
          <w:rtl/>
        </w:rPr>
        <w:t xml:space="preserve"> לצורך כינון או הסדרה של ההורות נדרש להציג תעודה ציבורית </w:t>
      </w:r>
      <w:r w:rsidR="0065356F">
        <w:rPr>
          <w:rFonts w:ascii="Arial" w:hAnsi="Arial" w:hint="cs"/>
          <w:noProof w:val="0"/>
          <w:rtl/>
        </w:rPr>
        <w:t>בכדי לעמוד בתנאים לצורך המרשם</w:t>
      </w:r>
      <w:r w:rsidR="00093AF9">
        <w:rPr>
          <w:rFonts w:ascii="Arial" w:hAnsi="Arial" w:hint="cs"/>
          <w:noProof w:val="0"/>
          <w:rtl/>
        </w:rPr>
        <w:t xml:space="preserve"> (ראו בענין זה גם </w:t>
      </w:r>
      <w:r w:rsidR="00093AF9" w:rsidRPr="004A4908">
        <w:rPr>
          <w:rFonts w:ascii="Arial" w:hAnsi="Arial" w:hint="cs"/>
          <w:b/>
          <w:bCs/>
          <w:noProof w:val="0"/>
          <w:rtl/>
        </w:rPr>
        <w:t>ענין צור-וייסלברג</w:t>
      </w:r>
      <w:r w:rsidR="00093AF9">
        <w:rPr>
          <w:rFonts w:ascii="Arial" w:hAnsi="Arial" w:hint="cs"/>
          <w:noProof w:val="0"/>
          <w:rtl/>
        </w:rPr>
        <w:t>).</w:t>
      </w:r>
    </w:p>
    <w:p w:rsidR="000F544E" w:rsidRPr="005A4BF9" w:rsidRDefault="0065356F" w:rsidP="00D3728A">
      <w:pPr>
        <w:pStyle w:val="ad"/>
        <w:spacing w:after="120" w:line="360" w:lineRule="auto"/>
        <w:ind w:left="567"/>
        <w:contextualSpacing w:val="0"/>
        <w:jc w:val="both"/>
        <w:rPr>
          <w:rFonts w:ascii="Arial" w:hAnsi="Arial"/>
          <w:noProof w:val="0"/>
        </w:rPr>
      </w:pPr>
      <w:r>
        <w:rPr>
          <w:rFonts w:ascii="Arial" w:hAnsi="Arial" w:hint="cs"/>
          <w:noProof w:val="0"/>
          <w:rtl/>
        </w:rPr>
        <w:t xml:space="preserve">כך, </w:t>
      </w:r>
      <w:r w:rsidR="00093AF9">
        <w:rPr>
          <w:rFonts w:ascii="Arial" w:hAnsi="Arial" w:hint="cs"/>
          <w:noProof w:val="0"/>
          <w:rtl/>
        </w:rPr>
        <w:t>בית המשפט העליון</w:t>
      </w:r>
      <w:r>
        <w:rPr>
          <w:rFonts w:ascii="Arial" w:hAnsi="Arial" w:hint="cs"/>
          <w:noProof w:val="0"/>
          <w:rtl/>
        </w:rPr>
        <w:t xml:space="preserve"> קובע באופן מפורש וברור, כי </w:t>
      </w:r>
      <w:r w:rsidR="000F544E">
        <w:rPr>
          <w:rFonts w:ascii="Arial" w:hAnsi="Arial" w:hint="cs"/>
          <w:noProof w:val="0"/>
          <w:rtl/>
        </w:rPr>
        <w:t>בכדי לרשום במרשם הורות מכח זיקה לזיקה (הורות לא ביולוגית מכח קשרי זוגיות עם הורה ביולוגי) אין להסתפק בהצהרת ההורים ויש להציג תעודה ציבורית</w:t>
      </w:r>
      <w:r w:rsidR="000D29AB">
        <w:rPr>
          <w:rFonts w:ascii="Arial" w:hAnsi="Arial" w:hint="cs"/>
          <w:noProof w:val="0"/>
          <w:rtl/>
        </w:rPr>
        <w:t xml:space="preserve"> </w:t>
      </w:r>
      <w:r w:rsidR="000F544E">
        <w:rPr>
          <w:rFonts w:ascii="Arial" w:hAnsi="Arial" w:hint="cs"/>
          <w:noProof w:val="0"/>
          <w:rtl/>
        </w:rPr>
        <w:t>מתאימה</w:t>
      </w:r>
      <w:r>
        <w:rPr>
          <w:rFonts w:ascii="Arial" w:hAnsi="Arial" w:hint="cs"/>
          <w:noProof w:val="0"/>
          <w:rtl/>
        </w:rPr>
        <w:t>.</w:t>
      </w:r>
    </w:p>
    <w:p w:rsidR="00093AF9" w:rsidRDefault="00A37B9F" w:rsidP="001A097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הקטין מפנה להוראות נוהל הוספת פרטי אב לקטין תושב ישראל הרשום במרשם אוכלוסין (2.2.0007</w:t>
      </w:r>
      <w:r w:rsidR="00F343E9">
        <w:rPr>
          <w:rFonts w:ascii="Arial" w:hAnsi="Arial" w:hint="cs"/>
          <w:noProof w:val="0"/>
          <w:rtl/>
        </w:rPr>
        <w:t>)</w:t>
      </w:r>
      <w:r>
        <w:rPr>
          <w:rFonts w:ascii="Arial" w:hAnsi="Arial" w:hint="cs"/>
          <w:noProof w:val="0"/>
          <w:rtl/>
        </w:rPr>
        <w:t xml:space="preserve"> ולטופס הכרה באבהות על ילד שנולד לאישה פנויה לפי סעיף 21 לחוק האמור. </w:t>
      </w:r>
    </w:p>
    <w:p w:rsidR="004C3872" w:rsidRDefault="00A37B9F" w:rsidP="003C5D77">
      <w:pPr>
        <w:pStyle w:val="ad"/>
        <w:spacing w:after="120" w:line="360" w:lineRule="auto"/>
        <w:ind w:left="567"/>
        <w:contextualSpacing w:val="0"/>
        <w:jc w:val="both"/>
        <w:rPr>
          <w:rFonts w:ascii="Arial" w:hAnsi="Arial"/>
          <w:noProof w:val="0"/>
          <w:rtl/>
        </w:rPr>
      </w:pPr>
      <w:r>
        <w:rPr>
          <w:rFonts w:ascii="Arial" w:hAnsi="Arial" w:hint="cs"/>
          <w:noProof w:val="0"/>
          <w:rtl/>
        </w:rPr>
        <w:t xml:space="preserve">בפני בית המשפט לא הוצג הטופס עליו חתם המנוח כדי לרשום את פרטיו במרשם האוכלוסין ועל כן לא נודע האם נוסח ההצרה זהה לנוסח אליו הפנה הקטין, אולם הנוסח </w:t>
      </w:r>
      <w:r w:rsidR="000F544E">
        <w:rPr>
          <w:rFonts w:ascii="Arial" w:hAnsi="Arial" w:hint="cs"/>
          <w:noProof w:val="0"/>
          <w:rtl/>
        </w:rPr>
        <w:t>אותו מצטט</w:t>
      </w:r>
      <w:r>
        <w:rPr>
          <w:rFonts w:ascii="Arial" w:hAnsi="Arial" w:hint="cs"/>
          <w:noProof w:val="0"/>
          <w:rtl/>
        </w:rPr>
        <w:t xml:space="preserve"> הקטין מתייחס במפורש לכך שהמבקש מצהיר כי הוא אביו</w:t>
      </w:r>
      <w:r w:rsidRPr="00A37B9F">
        <w:rPr>
          <w:rFonts w:ascii="Arial" w:hAnsi="Arial" w:hint="cs"/>
          <w:b/>
          <w:bCs/>
          <w:noProof w:val="0"/>
          <w:u w:val="single"/>
          <w:rtl/>
        </w:rPr>
        <w:t xml:space="preserve"> הביולוגי</w:t>
      </w:r>
      <w:r>
        <w:rPr>
          <w:rFonts w:ascii="Arial" w:hAnsi="Arial" w:hint="cs"/>
          <w:noProof w:val="0"/>
          <w:rtl/>
        </w:rPr>
        <w:t xml:space="preserve"> של הילוד ועל סמך הצהרה זו מבוצע המרשם</w:t>
      </w:r>
      <w:r w:rsidR="003C5D77">
        <w:rPr>
          <w:rFonts w:ascii="Arial" w:hAnsi="Arial" w:hint="cs"/>
          <w:noProof w:val="0"/>
          <w:rtl/>
        </w:rPr>
        <w:t>, על כן, לכאורה, טענתו של הקטין סותרת את עמדתו לגבי הסתמכות על המרשם</w:t>
      </w:r>
      <w:r w:rsidR="000F544E">
        <w:rPr>
          <w:rFonts w:ascii="Arial" w:hAnsi="Arial" w:hint="cs"/>
          <w:noProof w:val="0"/>
          <w:rtl/>
        </w:rPr>
        <w:t xml:space="preserve"> (</w:t>
      </w:r>
      <w:r w:rsidR="003C5D77">
        <w:rPr>
          <w:rFonts w:ascii="Arial" w:hAnsi="Arial" w:hint="cs"/>
          <w:noProof w:val="0"/>
          <w:rtl/>
        </w:rPr>
        <w:t xml:space="preserve">אם כי </w:t>
      </w:r>
      <w:r w:rsidR="000F544E">
        <w:rPr>
          <w:rFonts w:ascii="Arial" w:hAnsi="Arial" w:hint="cs"/>
          <w:noProof w:val="0"/>
          <w:rtl/>
        </w:rPr>
        <w:t xml:space="preserve">אציין, </w:t>
      </w:r>
      <w:r w:rsidR="003C5D77">
        <w:rPr>
          <w:rFonts w:ascii="Arial" w:hAnsi="Arial" w:hint="cs"/>
          <w:noProof w:val="0"/>
          <w:rtl/>
        </w:rPr>
        <w:t xml:space="preserve">למען הדיוק, </w:t>
      </w:r>
      <w:r w:rsidR="000F544E">
        <w:rPr>
          <w:rFonts w:ascii="Arial" w:hAnsi="Arial" w:hint="cs"/>
          <w:noProof w:val="0"/>
          <w:rtl/>
        </w:rPr>
        <w:t>כי נדמה</w:t>
      </w:r>
      <w:r w:rsidR="003C5D77">
        <w:rPr>
          <w:rFonts w:ascii="Arial" w:hAnsi="Arial" w:hint="cs"/>
          <w:noProof w:val="0"/>
          <w:rtl/>
        </w:rPr>
        <w:t xml:space="preserve"> שהנוסח שהובא על ידי הקטין</w:t>
      </w:r>
      <w:r w:rsidR="000F544E">
        <w:rPr>
          <w:rFonts w:ascii="Arial" w:hAnsi="Arial" w:hint="cs"/>
          <w:noProof w:val="0"/>
          <w:rtl/>
        </w:rPr>
        <w:t xml:space="preserve"> אינו הנוסח שנעשה בו שימוש בעבר ו</w:t>
      </w:r>
      <w:r w:rsidR="004A4908">
        <w:rPr>
          <w:rFonts w:ascii="Arial" w:hAnsi="Arial" w:hint="cs"/>
          <w:noProof w:val="0"/>
          <w:rtl/>
        </w:rPr>
        <w:t xml:space="preserve">נדמה, </w:t>
      </w:r>
      <w:r w:rsidR="000F544E">
        <w:rPr>
          <w:rFonts w:ascii="Arial" w:hAnsi="Arial" w:hint="cs"/>
          <w:noProof w:val="0"/>
          <w:rtl/>
        </w:rPr>
        <w:t>כי התוספת להתיי</w:t>
      </w:r>
      <w:r w:rsidR="004A4908">
        <w:rPr>
          <w:rFonts w:ascii="Arial" w:hAnsi="Arial" w:hint="cs"/>
          <w:noProof w:val="0"/>
          <w:rtl/>
        </w:rPr>
        <w:t xml:space="preserve">חסות להורות ביולוגית היא ממועד </w:t>
      </w:r>
      <w:r w:rsidR="000F544E">
        <w:rPr>
          <w:rFonts w:ascii="Arial" w:hAnsi="Arial" w:hint="cs"/>
          <w:noProof w:val="0"/>
          <w:rtl/>
        </w:rPr>
        <w:t>מאוחר ל</w:t>
      </w:r>
      <w:r w:rsidR="004A4908">
        <w:rPr>
          <w:rFonts w:ascii="Arial" w:hAnsi="Arial" w:hint="cs"/>
          <w:noProof w:val="0"/>
          <w:rtl/>
        </w:rPr>
        <w:t xml:space="preserve">חודש </w:t>
      </w:r>
      <w:r w:rsidR="000F544E">
        <w:rPr>
          <w:rFonts w:ascii="Arial" w:hAnsi="Arial" w:hint="cs"/>
          <w:noProof w:val="0"/>
          <w:rtl/>
        </w:rPr>
        <w:t>יוני 2018 (</w:t>
      </w:r>
      <w:r w:rsidR="000F544E" w:rsidRPr="003C5D77">
        <w:rPr>
          <w:rFonts w:ascii="Arial" w:hAnsi="Arial" w:hint="cs"/>
          <w:b/>
          <w:bCs/>
          <w:noProof w:val="0"/>
          <w:rtl/>
        </w:rPr>
        <w:t>ע</w:t>
      </w:r>
      <w:r w:rsidR="003C5D77" w:rsidRPr="003C5D77">
        <w:rPr>
          <w:rFonts w:ascii="Arial" w:hAnsi="Arial" w:hint="cs"/>
          <w:b/>
          <w:bCs/>
          <w:noProof w:val="0"/>
          <w:rtl/>
        </w:rPr>
        <w:t>נ</w:t>
      </w:r>
      <w:r w:rsidR="000F544E" w:rsidRPr="003C5D77">
        <w:rPr>
          <w:rFonts w:ascii="Arial" w:hAnsi="Arial" w:hint="cs"/>
          <w:b/>
          <w:bCs/>
          <w:noProof w:val="0"/>
          <w:rtl/>
        </w:rPr>
        <w:t>ין פלוני</w:t>
      </w:r>
      <w:r w:rsidR="000F544E">
        <w:rPr>
          <w:rFonts w:ascii="Arial" w:hAnsi="Arial" w:hint="cs"/>
          <w:noProof w:val="0"/>
          <w:rtl/>
        </w:rPr>
        <w:t xml:space="preserve">, סעיף 8)). </w:t>
      </w:r>
    </w:p>
    <w:p w:rsidR="00F343E9" w:rsidRDefault="00D3728A" w:rsidP="001A097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אוסיף, כי איני סבורה שניתן להסתמך על בג"צ 7344/17 </w:t>
      </w:r>
      <w:r w:rsidRPr="00D3728A">
        <w:rPr>
          <w:rFonts w:ascii="Arial" w:hAnsi="Arial" w:hint="cs"/>
          <w:b/>
          <w:bCs/>
          <w:noProof w:val="0"/>
          <w:rtl/>
        </w:rPr>
        <w:t>פלוני נ' שר הפנים</w:t>
      </w:r>
      <w:r>
        <w:rPr>
          <w:rFonts w:ascii="Arial" w:hAnsi="Arial" w:hint="cs"/>
          <w:noProof w:val="0"/>
          <w:rtl/>
        </w:rPr>
        <w:t xml:space="preserve"> (12.12.2018) אליו מפנה הקטין, שכן ההתייחסות שם היא לרישום מכח צו אימוץ ולא במקרה בו אין הסדרה של ההורות על פי דין. </w:t>
      </w:r>
    </w:p>
    <w:p w:rsidR="00A1014C" w:rsidRPr="00A1014C" w:rsidRDefault="00A1014C" w:rsidP="00A101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אני סבורה, כי הרישום במרשם, בבנק, במקום העבודה של המנוח ובתעודת הלידה הוא ביטוי לכוונת המנוח לראות בקטין כבנו, אולם כאמור, אין בכוונה כדי לכונן את המעמד המשפטי ונדרשת הסדרה על פי אחת החלופות הקיימות בדין. </w:t>
      </w:r>
    </w:p>
    <w:p w:rsidR="00182646" w:rsidRDefault="001A0974" w:rsidP="00182646">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אסכם </w:t>
      </w:r>
      <w:r w:rsidR="00182646">
        <w:rPr>
          <w:rFonts w:ascii="Arial" w:hAnsi="Arial" w:hint="cs"/>
          <w:noProof w:val="0"/>
          <w:rtl/>
        </w:rPr>
        <w:t>-</w:t>
      </w:r>
      <w:r>
        <w:rPr>
          <w:rFonts w:ascii="Arial" w:hAnsi="Arial" w:hint="cs"/>
          <w:noProof w:val="0"/>
          <w:rtl/>
        </w:rPr>
        <w:t xml:space="preserve"> </w:t>
      </w:r>
    </w:p>
    <w:p w:rsidR="00182646" w:rsidRDefault="001A0974" w:rsidP="00182646">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ההתייחסות לרישום פרטי ילדים והורים במרשם מתבססת על הכרה באחת מצורות כינון הורות המוכרות בדין. </w:t>
      </w:r>
    </w:p>
    <w:p w:rsidR="00182646" w:rsidRDefault="001A0974" w:rsidP="00182646">
      <w:pPr>
        <w:pStyle w:val="ad"/>
        <w:spacing w:after="120" w:line="360" w:lineRule="auto"/>
        <w:ind w:left="567"/>
        <w:contextualSpacing w:val="0"/>
        <w:jc w:val="both"/>
        <w:rPr>
          <w:rFonts w:ascii="Arial" w:hAnsi="Arial"/>
          <w:noProof w:val="0"/>
          <w:rtl/>
        </w:rPr>
      </w:pPr>
      <w:r>
        <w:rPr>
          <w:rFonts w:ascii="Arial" w:hAnsi="Arial" w:hint="cs"/>
          <w:noProof w:val="0"/>
          <w:rtl/>
        </w:rPr>
        <w:t xml:space="preserve">רישום הקטין כבנו של המנוח מבלי שהוסדרה אבהותו מהווה רישום פרטים שאינם נכונים. </w:t>
      </w:r>
    </w:p>
    <w:p w:rsidR="00F166FC" w:rsidRDefault="001A0974" w:rsidP="00182646">
      <w:pPr>
        <w:pStyle w:val="ad"/>
        <w:spacing w:after="120" w:line="360" w:lineRule="auto"/>
        <w:ind w:left="567"/>
        <w:contextualSpacing w:val="0"/>
        <w:jc w:val="both"/>
        <w:rPr>
          <w:rFonts w:ascii="Arial" w:hAnsi="Arial"/>
          <w:noProof w:val="0"/>
        </w:rPr>
      </w:pPr>
      <w:r>
        <w:rPr>
          <w:rFonts w:ascii="Arial" w:hAnsi="Arial" w:hint="cs"/>
          <w:noProof w:val="0"/>
          <w:rtl/>
        </w:rPr>
        <w:t xml:space="preserve">פרטי הורים וילדים במרשם </w:t>
      </w:r>
      <w:r w:rsidR="00A1014C">
        <w:rPr>
          <w:rFonts w:ascii="Arial" w:hAnsi="Arial" w:hint="cs"/>
          <w:noProof w:val="0"/>
          <w:rtl/>
        </w:rPr>
        <w:t>אמורים לשקף את מצב הדברים והרישום אינו יוצר מצב אלא משקף אותו. בנוסף, מדובר בפרטים ה</w:t>
      </w:r>
      <w:r>
        <w:rPr>
          <w:rFonts w:ascii="Arial" w:hAnsi="Arial" w:hint="cs"/>
          <w:noProof w:val="0"/>
          <w:rtl/>
        </w:rPr>
        <w:t xml:space="preserve">מהווים ראיה לכאורה, ככזו </w:t>
      </w:r>
      <w:r w:rsidR="00182646">
        <w:rPr>
          <w:rFonts w:ascii="Arial" w:hAnsi="Arial" w:hint="cs"/>
          <w:noProof w:val="0"/>
          <w:rtl/>
        </w:rPr>
        <w:t>-</w:t>
      </w:r>
      <w:r>
        <w:rPr>
          <w:rFonts w:ascii="Arial" w:hAnsi="Arial" w:hint="cs"/>
          <w:noProof w:val="0"/>
          <w:rtl/>
        </w:rPr>
        <w:t xml:space="preserve"> היא ניתנת לסתירה; על כן שעה שאין מחלוקת שהקטין אינו בנו הביולוגי של המנוח וכי לא ניתן צו המסדיר את ההורות בדרך כזו או אחרת, נסתרת הראיה</w:t>
      </w:r>
      <w:r w:rsidR="00182646">
        <w:rPr>
          <w:rFonts w:ascii="Arial" w:hAnsi="Arial" w:hint="cs"/>
          <w:noProof w:val="0"/>
          <w:rtl/>
        </w:rPr>
        <w:t>, הרישום אינו רישום שמשקף את מצב הדברים האמיתי</w:t>
      </w:r>
      <w:r>
        <w:rPr>
          <w:rFonts w:ascii="Arial" w:hAnsi="Arial" w:hint="cs"/>
          <w:noProof w:val="0"/>
          <w:rtl/>
        </w:rPr>
        <w:t xml:space="preserve"> ולא ניתן להסתמך על הרישום</w:t>
      </w:r>
      <w:r w:rsidR="00182646">
        <w:rPr>
          <w:rFonts w:ascii="Arial" w:hAnsi="Arial" w:hint="cs"/>
          <w:noProof w:val="0"/>
          <w:rtl/>
        </w:rPr>
        <w:t xml:space="preserve"> (ואף לא על תעודת הלידה הנסמכת על הרישום)</w:t>
      </w:r>
      <w:r w:rsidR="00F166FC">
        <w:rPr>
          <w:rFonts w:ascii="Arial" w:hAnsi="Arial" w:hint="cs"/>
          <w:noProof w:val="0"/>
          <w:rtl/>
        </w:rPr>
        <w:t>.</w:t>
      </w:r>
    </w:p>
    <w:p w:rsidR="00F166FC" w:rsidRDefault="00F166FC" w:rsidP="00182646">
      <w:pPr>
        <w:pStyle w:val="ad"/>
        <w:spacing w:after="120" w:line="360" w:lineRule="auto"/>
        <w:ind w:left="567"/>
        <w:contextualSpacing w:val="0"/>
        <w:jc w:val="both"/>
        <w:rPr>
          <w:rFonts w:ascii="Arial" w:hAnsi="Arial"/>
          <w:noProof w:val="0"/>
          <w:rtl/>
        </w:rPr>
      </w:pPr>
      <w:r w:rsidRPr="00182646">
        <w:rPr>
          <w:rFonts w:ascii="Arial" w:hAnsi="Arial" w:hint="cs"/>
          <w:b/>
          <w:bCs/>
          <w:noProof w:val="0"/>
          <w:rtl/>
        </w:rPr>
        <w:t>שעה שהרישום אינו משקף את יחסי ההורות המוכרים בדין הישראלי, לא ניתן להסתמך על הרישום כמבסס הורות (ממילא, רישום במרשם רק משקף מצב ולא יוצר או מצהיר עליו</w:t>
      </w:r>
      <w:r>
        <w:rPr>
          <w:rFonts w:ascii="Arial" w:hAnsi="Arial" w:hint="cs"/>
          <w:noProof w:val="0"/>
          <w:rtl/>
        </w:rPr>
        <w:t xml:space="preserve">). </w:t>
      </w:r>
    </w:p>
    <w:p w:rsidR="001A0974" w:rsidRDefault="00F166FC" w:rsidP="00A1014C">
      <w:pPr>
        <w:pStyle w:val="ad"/>
        <w:numPr>
          <w:ilvl w:val="0"/>
          <w:numId w:val="2"/>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t>האם ניתן להסתמך על התנהגותו של המנוח כדי להכיר ביחסי ההורות באופן המאפשרים קביעת ירושה על פי דין?</w:t>
      </w:r>
    </w:p>
    <w:p w:rsidR="00F166FC" w:rsidRDefault="00F166FC" w:rsidP="00F166FC">
      <w:pPr>
        <w:pStyle w:val="ad"/>
        <w:numPr>
          <w:ilvl w:val="0"/>
          <w:numId w:val="1"/>
        </w:numPr>
        <w:spacing w:after="120" w:line="360" w:lineRule="auto"/>
        <w:ind w:left="567" w:hanging="567"/>
        <w:contextualSpacing w:val="0"/>
        <w:jc w:val="both"/>
        <w:rPr>
          <w:rFonts w:ascii="Arial" w:hAnsi="Arial"/>
          <w:noProof w:val="0"/>
        </w:rPr>
      </w:pPr>
      <w:r w:rsidRPr="00F166FC">
        <w:rPr>
          <w:rFonts w:ascii="Arial" w:hAnsi="Arial" w:hint="cs"/>
          <w:noProof w:val="0"/>
          <w:rtl/>
        </w:rPr>
        <w:t>הק</w:t>
      </w:r>
      <w:r>
        <w:rPr>
          <w:rFonts w:ascii="Arial" w:hAnsi="Arial" w:hint="cs"/>
          <w:noProof w:val="0"/>
          <w:rtl/>
        </w:rPr>
        <w:t xml:space="preserve">טין טען, כי הוא קרוי על שם אביו של המנוח; כי המנוח עדכן את פרטי הקטין במקומות רשמיים (במסגרת העבודה, בבנק ועוד); כי נסיבות ניתוק הקשר לא היו בשליטתו וכי התנהגותו מלמדת על הכרה בהורות. </w:t>
      </w:r>
    </w:p>
    <w:p w:rsidR="00A1014C" w:rsidRDefault="00F166FC" w:rsidP="00F166F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מובן, כי לא ניתן לכונן הורות מכח התנהגות וטענות אלה אינן יכולות לבסס הכרה </w:t>
      </w:r>
      <w:r w:rsidR="00182646">
        <w:rPr>
          <w:rFonts w:ascii="Arial" w:hAnsi="Arial" w:hint="cs"/>
          <w:noProof w:val="0"/>
          <w:rtl/>
        </w:rPr>
        <w:t>בסטטוס</w:t>
      </w:r>
      <w:r>
        <w:rPr>
          <w:rFonts w:ascii="Arial" w:hAnsi="Arial" w:hint="cs"/>
          <w:noProof w:val="0"/>
          <w:rtl/>
        </w:rPr>
        <w:t xml:space="preserve">, כמבוקש. </w:t>
      </w:r>
    </w:p>
    <w:p w:rsidR="00F166FC" w:rsidRDefault="00182646" w:rsidP="00A1014C">
      <w:pPr>
        <w:pStyle w:val="ad"/>
        <w:spacing w:after="120" w:line="360" w:lineRule="auto"/>
        <w:ind w:left="567"/>
        <w:contextualSpacing w:val="0"/>
        <w:jc w:val="both"/>
        <w:rPr>
          <w:rFonts w:ascii="Arial" w:hAnsi="Arial"/>
          <w:noProof w:val="0"/>
        </w:rPr>
      </w:pPr>
      <w:r>
        <w:rPr>
          <w:rFonts w:ascii="Arial" w:hAnsi="Arial" w:hint="cs"/>
          <w:noProof w:val="0"/>
          <w:rtl/>
        </w:rPr>
        <w:t>מעבר לאמור, טענותיו של המנוח בהליכים הקודמים ונוסח שתי הצוואות מלמד על כך שבזמן אמת ראה המנוח קושי בהגדרת מערכת היחסים כהורה ובנו ויש קושי ממשי להסתמך על טענת הכוונה לאור תיעוד הדברים מזמן אמת (מעבר לברור מאליו, כי כוונה אינה יוצרת הורות משפטית</w:t>
      </w:r>
      <w:r w:rsidR="00A1014C">
        <w:rPr>
          <w:rFonts w:ascii="Arial" w:hAnsi="Arial" w:hint="cs"/>
          <w:noProof w:val="0"/>
          <w:rtl/>
        </w:rPr>
        <w:t>; ולהיפך, כוונה להתנער אינה מבטלת סטטוס הורי שנקבע כדין</w:t>
      </w:r>
      <w:r>
        <w:rPr>
          <w:rFonts w:ascii="Arial" w:hAnsi="Arial" w:hint="cs"/>
          <w:noProof w:val="0"/>
          <w:rtl/>
        </w:rPr>
        <w:t>).</w:t>
      </w:r>
      <w:r w:rsidR="00A1014C">
        <w:rPr>
          <w:rFonts w:ascii="Arial" w:hAnsi="Arial" w:hint="cs"/>
          <w:noProof w:val="0"/>
          <w:rtl/>
        </w:rPr>
        <w:t xml:space="preserve"> </w:t>
      </w:r>
    </w:p>
    <w:p w:rsidR="00F166FC" w:rsidRDefault="00F166FC" w:rsidP="00A1014C">
      <w:pPr>
        <w:pStyle w:val="ad"/>
        <w:numPr>
          <w:ilvl w:val="0"/>
          <w:numId w:val="2"/>
        </w:numPr>
        <w:spacing w:after="120" w:line="360" w:lineRule="auto"/>
        <w:ind w:left="567" w:hanging="567"/>
        <w:contextualSpacing w:val="0"/>
        <w:jc w:val="both"/>
        <w:rPr>
          <w:rFonts w:ascii="Arial" w:hAnsi="Arial"/>
          <w:b/>
          <w:bCs/>
          <w:noProof w:val="0"/>
          <w:u w:val="single"/>
        </w:rPr>
      </w:pPr>
      <w:r w:rsidRPr="00F166FC">
        <w:rPr>
          <w:rFonts w:ascii="Arial" w:hAnsi="Arial" w:hint="cs"/>
          <w:b/>
          <w:bCs/>
          <w:noProof w:val="0"/>
          <w:u w:val="single"/>
          <w:rtl/>
        </w:rPr>
        <w:t>סיכום:</w:t>
      </w:r>
    </w:p>
    <w:p w:rsidR="00F166FC" w:rsidRDefault="00F166FC" w:rsidP="00A1014C">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דיני הירושה הישראליים הם קפדנים, ברורים ונוקשים </w:t>
      </w:r>
      <w:r w:rsidR="00BD5270">
        <w:rPr>
          <w:rFonts w:ascii="Arial" w:hAnsi="Arial" w:hint="cs"/>
          <w:noProof w:val="0"/>
          <w:rtl/>
        </w:rPr>
        <w:t>ודרכי ההורשה מוגדר</w:t>
      </w:r>
      <w:r w:rsidR="00A1014C">
        <w:rPr>
          <w:rFonts w:ascii="Arial" w:hAnsi="Arial" w:hint="cs"/>
          <w:noProof w:val="0"/>
          <w:rtl/>
        </w:rPr>
        <w:t>ות</w:t>
      </w:r>
      <w:r w:rsidR="00BD5270">
        <w:rPr>
          <w:rFonts w:ascii="Arial" w:hAnsi="Arial" w:hint="cs"/>
          <w:noProof w:val="0"/>
          <w:rtl/>
        </w:rPr>
        <w:t xml:space="preserve"> בצורה מדוי</w:t>
      </w:r>
      <w:r>
        <w:rPr>
          <w:rFonts w:ascii="Arial" w:hAnsi="Arial" w:hint="cs"/>
          <w:noProof w:val="0"/>
          <w:rtl/>
        </w:rPr>
        <w:t>קת. ה</w:t>
      </w:r>
      <w:r w:rsidR="00A1014C">
        <w:rPr>
          <w:rFonts w:ascii="Arial" w:hAnsi="Arial" w:hint="cs"/>
          <w:noProof w:val="0"/>
          <w:rtl/>
        </w:rPr>
        <w:t xml:space="preserve">וראות החוק המתייחסות ליורשים על פי דין </w:t>
      </w:r>
      <w:r>
        <w:rPr>
          <w:rFonts w:ascii="Arial" w:hAnsi="Arial" w:hint="cs"/>
          <w:noProof w:val="0"/>
          <w:rtl/>
        </w:rPr>
        <w:t>אינ</w:t>
      </w:r>
      <w:r w:rsidR="00A1014C">
        <w:rPr>
          <w:rFonts w:ascii="Arial" w:hAnsi="Arial" w:hint="cs"/>
          <w:noProof w:val="0"/>
          <w:rtl/>
        </w:rPr>
        <w:t>ן</w:t>
      </w:r>
      <w:r>
        <w:rPr>
          <w:rFonts w:ascii="Arial" w:hAnsi="Arial" w:hint="cs"/>
          <w:noProof w:val="0"/>
          <w:rtl/>
        </w:rPr>
        <w:t xml:space="preserve"> נתונ</w:t>
      </w:r>
      <w:r w:rsidR="00A1014C">
        <w:rPr>
          <w:rFonts w:ascii="Arial" w:hAnsi="Arial" w:hint="cs"/>
          <w:noProof w:val="0"/>
          <w:rtl/>
        </w:rPr>
        <w:t>ות</w:t>
      </w:r>
      <w:r>
        <w:rPr>
          <w:rFonts w:ascii="Arial" w:hAnsi="Arial" w:hint="cs"/>
          <w:noProof w:val="0"/>
          <w:rtl/>
        </w:rPr>
        <w:t xml:space="preserve"> לפרשנות או לשיקול דעת ולא ניתן למתוח את תחולת</w:t>
      </w:r>
      <w:r w:rsidR="00A1014C">
        <w:rPr>
          <w:rFonts w:ascii="Arial" w:hAnsi="Arial" w:hint="cs"/>
          <w:noProof w:val="0"/>
          <w:rtl/>
        </w:rPr>
        <w:t>ן</w:t>
      </w:r>
      <w:r>
        <w:rPr>
          <w:rFonts w:ascii="Arial" w:hAnsi="Arial" w:hint="cs"/>
          <w:noProof w:val="0"/>
          <w:rtl/>
        </w:rPr>
        <w:t xml:space="preserve"> בהתאם למערכות היחסים של המנוח עם הטוענים לירושה בהעדר התקיימות התנאים הפורמליים.</w:t>
      </w:r>
    </w:p>
    <w:p w:rsidR="00F166FC" w:rsidRDefault="00F166FC" w:rsidP="00E86BFE">
      <w:pPr>
        <w:pStyle w:val="ad"/>
        <w:spacing w:after="120" w:line="360" w:lineRule="auto"/>
        <w:ind w:left="567"/>
        <w:contextualSpacing w:val="0"/>
        <w:jc w:val="both"/>
        <w:rPr>
          <w:rFonts w:ascii="Arial" w:hAnsi="Arial"/>
          <w:noProof w:val="0"/>
          <w:rtl/>
        </w:rPr>
      </w:pPr>
      <w:r>
        <w:rPr>
          <w:rFonts w:ascii="Arial" w:hAnsi="Arial" w:hint="cs"/>
          <w:noProof w:val="0"/>
          <w:rtl/>
        </w:rPr>
        <w:t xml:space="preserve">חוק הירושה קובע, כי </w:t>
      </w:r>
      <w:r w:rsidR="00BD5270">
        <w:rPr>
          <w:rFonts w:ascii="Arial" w:hAnsi="Arial" w:hint="cs"/>
          <w:noProof w:val="0"/>
          <w:rtl/>
        </w:rPr>
        <w:t>ילדו הביולוגי וילדו המאומץ של מנוח הם יורשים על פי דין. החוק האמור אינו מתייחס להורות שנקבע</w:t>
      </w:r>
      <w:r w:rsidR="00182646">
        <w:rPr>
          <w:rFonts w:ascii="Arial" w:hAnsi="Arial" w:hint="cs"/>
          <w:noProof w:val="0"/>
          <w:rtl/>
        </w:rPr>
        <w:t>ה</w:t>
      </w:r>
      <w:r w:rsidR="00BD5270">
        <w:rPr>
          <w:rFonts w:ascii="Arial" w:hAnsi="Arial" w:hint="cs"/>
          <w:noProof w:val="0"/>
          <w:rtl/>
        </w:rPr>
        <w:t xml:space="preserve"> בצו אולם ממילא זהו לא המצב כאן.</w:t>
      </w:r>
    </w:p>
    <w:p w:rsidR="00BD5270" w:rsidRDefault="00BD5270" w:rsidP="00182646">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חוק הירושה אינו מכיר ביחסי הורה </w:t>
      </w:r>
      <w:r w:rsidR="00182646">
        <w:rPr>
          <w:rFonts w:ascii="Arial" w:hAnsi="Arial" w:hint="cs"/>
          <w:noProof w:val="0"/>
          <w:rtl/>
        </w:rPr>
        <w:t>-</w:t>
      </w:r>
      <w:r>
        <w:rPr>
          <w:rFonts w:ascii="Arial" w:hAnsi="Arial" w:hint="cs"/>
          <w:noProof w:val="0"/>
          <w:rtl/>
        </w:rPr>
        <w:t xml:space="preserve"> ילד שאינם בהתאם לאמור באופן שמקים זכות ירושה כדין.</w:t>
      </w:r>
    </w:p>
    <w:p w:rsidR="00BD5270" w:rsidRDefault="00BD5270" w:rsidP="00E86BFE">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הפסיקה הכירה באפשרות להטיל חובות ולהכיר בזכויות שמוטלות או נובעות מיחסי הורים גם במקרים בהם אין הורות ביולוגית וזאת מכח הוראות חוק המזונות וכן מכח דיני החוזים ואינטרסים של הסתמכות וצדק.</w:t>
      </w:r>
    </w:p>
    <w:p w:rsidR="00BD5270" w:rsidRDefault="00BD5270" w:rsidP="00946EA5">
      <w:pPr>
        <w:pStyle w:val="ad"/>
        <w:spacing w:after="120" w:line="360" w:lineRule="auto"/>
        <w:ind w:left="567"/>
        <w:contextualSpacing w:val="0"/>
        <w:jc w:val="both"/>
        <w:rPr>
          <w:rFonts w:ascii="Arial" w:hAnsi="Arial"/>
          <w:noProof w:val="0"/>
          <w:rtl/>
        </w:rPr>
      </w:pPr>
      <w:r>
        <w:rPr>
          <w:rFonts w:ascii="Arial" w:hAnsi="Arial" w:hint="cs"/>
          <w:noProof w:val="0"/>
          <w:rtl/>
        </w:rPr>
        <w:t>הפסיקה לא הכירה באפשרות של כינון או הצהרה על הורות על סמך מערכת הסכמית מבלי שהדבר עוגן בצו שיפוטי</w:t>
      </w:r>
      <w:r w:rsidR="00946EA5">
        <w:rPr>
          <w:rFonts w:ascii="Arial" w:hAnsi="Arial" w:hint="cs"/>
          <w:noProof w:val="0"/>
          <w:rtl/>
        </w:rPr>
        <w:t>;</w:t>
      </w:r>
      <w:r>
        <w:rPr>
          <w:rFonts w:ascii="Arial" w:hAnsi="Arial" w:hint="cs"/>
          <w:noProof w:val="0"/>
          <w:rtl/>
        </w:rPr>
        <w:t xml:space="preserve"> ואין בהתחייבות בהסכם</w:t>
      </w:r>
      <w:r w:rsidR="00946EA5">
        <w:rPr>
          <w:rFonts w:ascii="Arial" w:hAnsi="Arial" w:hint="cs"/>
          <w:noProof w:val="0"/>
          <w:rtl/>
        </w:rPr>
        <w:t>,</w:t>
      </w:r>
      <w:r>
        <w:rPr>
          <w:rFonts w:ascii="Arial" w:hAnsi="Arial" w:hint="cs"/>
          <w:noProof w:val="0"/>
          <w:rtl/>
        </w:rPr>
        <w:t xml:space="preserve"> בהצהרה כלפי צדדים שלישיים (לרבות משרד הבריאות) או בנשיאה בחובות כלפי קטין כדי ליצור הורות תחת או בצד הדרכים המוכרות בדין.</w:t>
      </w:r>
    </w:p>
    <w:p w:rsidR="004A7599" w:rsidRDefault="00BD5270" w:rsidP="00E86BFE">
      <w:pPr>
        <w:pStyle w:val="ad"/>
        <w:spacing w:after="120" w:line="360" w:lineRule="auto"/>
        <w:ind w:left="567"/>
        <w:contextualSpacing w:val="0"/>
        <w:jc w:val="both"/>
        <w:rPr>
          <w:rFonts w:ascii="Arial" w:hAnsi="Arial"/>
          <w:noProof w:val="0"/>
          <w:rtl/>
        </w:rPr>
      </w:pPr>
      <w:r>
        <w:rPr>
          <w:rFonts w:ascii="Arial" w:hAnsi="Arial" w:hint="cs"/>
          <w:noProof w:val="0"/>
          <w:rtl/>
        </w:rPr>
        <w:t>משכך, במקרה שלפניי, הקטין אינו נכנס בגדרי המונח "ילד" הקבוע בס</w:t>
      </w:r>
      <w:r w:rsidR="00182646">
        <w:rPr>
          <w:rFonts w:ascii="Arial" w:hAnsi="Arial" w:hint="cs"/>
          <w:noProof w:val="0"/>
          <w:rtl/>
        </w:rPr>
        <w:t>ע</w:t>
      </w:r>
      <w:r>
        <w:rPr>
          <w:rFonts w:ascii="Arial" w:hAnsi="Arial" w:hint="cs"/>
          <w:noProof w:val="0"/>
          <w:rtl/>
        </w:rPr>
        <w:t xml:space="preserve">יף 10 לחוק הירושה ועל כן </w:t>
      </w:r>
      <w:r w:rsidR="004A7599">
        <w:rPr>
          <w:rFonts w:ascii="Arial" w:hAnsi="Arial" w:hint="cs"/>
          <w:noProof w:val="0"/>
          <w:rtl/>
        </w:rPr>
        <w:t xml:space="preserve">הוא אינו יורש על פי דין ואינו בעל מעמד להתנגד לצוואה. </w:t>
      </w:r>
    </w:p>
    <w:p w:rsidR="006D2C3D" w:rsidRDefault="004A7599" w:rsidP="00E86BFE">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נדמה שאין בכך צורך אולם למען הזהירות אציין, כי הבקשה לביטול צו הירושה עומדת בתנאי סעיף 72 </w:t>
      </w:r>
      <w:r w:rsidR="00182646">
        <w:rPr>
          <w:rFonts w:ascii="Arial" w:hAnsi="Arial" w:hint="cs"/>
          <w:noProof w:val="0"/>
          <w:rtl/>
        </w:rPr>
        <w:t xml:space="preserve">לחוק הירושה </w:t>
      </w:r>
      <w:r>
        <w:rPr>
          <w:rFonts w:ascii="Arial" w:hAnsi="Arial" w:hint="cs"/>
          <w:noProof w:val="0"/>
          <w:rtl/>
        </w:rPr>
        <w:t xml:space="preserve">שכן העובדה שהקטין אינו בנו של המנוח לא היתה בפני הרשם בעת מתן הצו, הענין הובא </w:t>
      </w:r>
      <w:r w:rsidR="00182646">
        <w:rPr>
          <w:rFonts w:ascii="Arial" w:hAnsi="Arial" w:hint="cs"/>
          <w:noProof w:val="0"/>
          <w:rtl/>
        </w:rPr>
        <w:t xml:space="preserve">על ידי מבקשות ביטול הצו </w:t>
      </w:r>
      <w:r>
        <w:rPr>
          <w:rFonts w:ascii="Arial" w:hAnsi="Arial" w:hint="cs"/>
          <w:noProof w:val="0"/>
          <w:rtl/>
        </w:rPr>
        <w:t xml:space="preserve">בהזדמנות הסבירה הראשונה </w:t>
      </w:r>
      <w:r w:rsidR="00182646">
        <w:rPr>
          <w:rFonts w:ascii="Arial" w:hAnsi="Arial" w:hint="cs"/>
          <w:noProof w:val="0"/>
          <w:rtl/>
        </w:rPr>
        <w:t xml:space="preserve">ובהעדר שיהוי ממשי </w:t>
      </w:r>
      <w:r>
        <w:rPr>
          <w:rFonts w:ascii="Arial" w:hAnsi="Arial" w:hint="cs"/>
          <w:noProof w:val="0"/>
          <w:rtl/>
        </w:rPr>
        <w:t>ומדובר</w:t>
      </w:r>
      <w:r w:rsidR="00D236D3">
        <w:rPr>
          <w:rFonts w:ascii="Arial" w:hAnsi="Arial" w:hint="cs"/>
          <w:noProof w:val="0"/>
          <w:rtl/>
        </w:rPr>
        <w:t xml:space="preserve"> בעובדה חשובה ומשמעותית בהקשר של מתן הצו</w:t>
      </w:r>
      <w:r w:rsidR="006D2C3D">
        <w:rPr>
          <w:rFonts w:ascii="Arial" w:hAnsi="Arial" w:hint="cs"/>
          <w:noProof w:val="0"/>
          <w:rtl/>
        </w:rPr>
        <w:t>.</w:t>
      </w:r>
    </w:p>
    <w:p w:rsidR="006D2C3D" w:rsidRDefault="006D2C3D" w:rsidP="00182646">
      <w:pPr>
        <w:pStyle w:val="ad"/>
        <w:spacing w:after="120" w:line="360" w:lineRule="auto"/>
        <w:ind w:left="567"/>
        <w:contextualSpacing w:val="0"/>
        <w:jc w:val="both"/>
        <w:rPr>
          <w:rFonts w:ascii="Arial" w:hAnsi="Arial"/>
          <w:noProof w:val="0"/>
          <w:rtl/>
        </w:rPr>
      </w:pPr>
      <w:r>
        <w:rPr>
          <w:rFonts w:ascii="Arial" w:hAnsi="Arial" w:hint="cs"/>
          <w:noProof w:val="0"/>
          <w:rtl/>
        </w:rPr>
        <w:t xml:space="preserve">ברור שהעובדה שהקטין אינו בנו הביולוגי של המנוח וההורות לא נקבעה כדין היא עובדה שאילו היתה מובאת בפני כבוד הרשם או בפני בית המשפט </w:t>
      </w:r>
      <w:r w:rsidR="00182646">
        <w:rPr>
          <w:rFonts w:ascii="Arial" w:hAnsi="Arial" w:hint="cs"/>
          <w:noProof w:val="0"/>
          <w:rtl/>
        </w:rPr>
        <w:t>-</w:t>
      </w:r>
      <w:r>
        <w:rPr>
          <w:rFonts w:ascii="Arial" w:hAnsi="Arial" w:hint="cs"/>
          <w:noProof w:val="0"/>
          <w:rtl/>
        </w:rPr>
        <w:t xml:space="preserve"> היה בה כדי לגרום לאי מתן הצו או למתן צו שונה (ת"ע (ראשל"צ) 3886-07-12 </w:t>
      </w:r>
      <w:r>
        <w:rPr>
          <w:rFonts w:ascii="Arial" w:hAnsi="Arial" w:hint="cs"/>
          <w:b/>
          <w:bCs/>
          <w:noProof w:val="0"/>
          <w:rtl/>
        </w:rPr>
        <w:t xml:space="preserve">ב.ב נ' א.א. </w:t>
      </w:r>
      <w:r>
        <w:rPr>
          <w:rFonts w:ascii="Arial" w:hAnsi="Arial" w:hint="cs"/>
          <w:noProof w:val="0"/>
          <w:rtl/>
        </w:rPr>
        <w:t>(16.9.2013)</w:t>
      </w:r>
      <w:r w:rsidR="00946EA5">
        <w:rPr>
          <w:rFonts w:ascii="Arial" w:hAnsi="Arial" w:hint="cs"/>
          <w:noProof w:val="0"/>
          <w:rtl/>
        </w:rPr>
        <w:t>)</w:t>
      </w:r>
      <w:r>
        <w:rPr>
          <w:rFonts w:ascii="Arial" w:hAnsi="Arial" w:hint="cs"/>
          <w:noProof w:val="0"/>
          <w:rtl/>
        </w:rPr>
        <w:t>.</w:t>
      </w:r>
    </w:p>
    <w:p w:rsidR="00E86BFE" w:rsidRDefault="006D2C3D" w:rsidP="00E86BFE">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לאור האמור ובסיכום הדברים, אני מורה על ביטול צו הירושה ועל מתן צו קיום לצוואת המנוח</w:t>
      </w:r>
      <w:r w:rsidR="00E86BFE">
        <w:rPr>
          <w:rFonts w:ascii="Arial" w:hAnsi="Arial" w:hint="cs"/>
          <w:noProof w:val="0"/>
          <w:rtl/>
        </w:rPr>
        <w:t xml:space="preserve"> (צו פורמאלי ינתן על גבי הצוואה, בנפרד)</w:t>
      </w:r>
      <w:r>
        <w:rPr>
          <w:rFonts w:ascii="Arial" w:hAnsi="Arial" w:hint="cs"/>
          <w:noProof w:val="0"/>
          <w:rtl/>
        </w:rPr>
        <w:t>.</w:t>
      </w:r>
    </w:p>
    <w:p w:rsidR="00694556" w:rsidRDefault="00E86BFE" w:rsidP="00182646">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ששקלתי את האופן בו נוהל ההליך ואת הגישה העניינית שהובילה להגדרת הסוגיה הנדרשת להכרעה כבר בתחילת ההליך אני מחייבת את הקטין (באמצעות האֵם) בהוצאות האחיות בסך 10,000 </w:t>
      </w:r>
      <w:r w:rsidR="00182646">
        <w:rPr>
          <w:rFonts w:ascii="Arial" w:hAnsi="Arial" w:hint="cs"/>
          <w:noProof w:val="0"/>
          <w:rtl/>
        </w:rPr>
        <w:t>ש"ח</w:t>
      </w:r>
      <w:r>
        <w:rPr>
          <w:rFonts w:ascii="Arial" w:hAnsi="Arial" w:hint="cs"/>
          <w:noProof w:val="0"/>
          <w:rtl/>
        </w:rPr>
        <w:t xml:space="preserve">. </w:t>
      </w:r>
    </w:p>
    <w:p w:rsidR="00E86BFE" w:rsidRPr="00E86BFE" w:rsidRDefault="00E86BFE" w:rsidP="00E86BFE">
      <w:pPr>
        <w:spacing w:after="120" w:line="360" w:lineRule="auto"/>
        <w:jc w:val="both"/>
        <w:rPr>
          <w:rFonts w:ascii="Arial" w:hAnsi="Arial"/>
          <w:b/>
          <w:bCs/>
          <w:noProof w:val="0"/>
          <w:u w:val="single"/>
          <w:rtl/>
        </w:rPr>
      </w:pPr>
      <w:r w:rsidRPr="00E86BFE">
        <w:rPr>
          <w:rFonts w:ascii="Arial" w:hAnsi="Arial" w:hint="cs"/>
          <w:b/>
          <w:bCs/>
          <w:noProof w:val="0"/>
          <w:u w:val="single"/>
          <w:rtl/>
        </w:rPr>
        <w:t xml:space="preserve">אני מתירה את פרסום פסק הדין בהשמטת פרטים מזהים. </w:t>
      </w:r>
    </w:p>
    <w:p w:rsidR="00694556" w:rsidRPr="00DE1E7D" w:rsidRDefault="00946EA5" w:rsidP="00946EA5">
      <w:pPr>
        <w:spacing w:after="120" w:line="360" w:lineRule="auto"/>
        <w:jc w:val="both"/>
        <w:rPr>
          <w:rFonts w:ascii="Arial" w:hAnsi="Arial"/>
          <w:noProof w:val="0"/>
          <w:rtl/>
        </w:rPr>
      </w:pPr>
      <w:r>
        <w:rPr>
          <w:rFonts w:ascii="Arial" w:hAnsi="Arial" w:hint="cs"/>
          <w:noProof w:val="0"/>
          <w:rtl/>
        </w:rPr>
        <w:t xml:space="preserve">המזכירות תמציא את פסק הדין לצדדים ותסגור את התיקים. </w:t>
      </w:r>
    </w:p>
    <w:p w:rsidR="00694556" w:rsidRDefault="0043502B" w:rsidP="00836829">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אוגוסט 2024</w:t>
          </w:r>
        </w:sdtContent>
      </w:sdt>
      <w:r w:rsidR="00005C8B">
        <w:rPr>
          <w:rFonts w:ascii="Arial" w:hAnsi="Arial"/>
          <w:noProof w:val="0"/>
          <w:rtl/>
        </w:rPr>
        <w:t>, בהעדר הצדדים.</w:t>
      </w:r>
    </w:p>
    <w:p w:rsidR="00C43648" w:rsidRDefault="00CB0942" w:rsidP="00836829">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836829">
      <w:pPr>
        <w:tabs>
          <w:tab w:val="left" w:pos="2553"/>
        </w:tabs>
        <w:spacing w:after="120" w:line="360" w:lineRule="auto"/>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733129213"/>
        </w:sdtPr>
        <w:sdtEndPr/>
        <w:sdtContent>
          <w:r w:rsidR="001A1F3D">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836829">
      <w:pPr>
        <w:tabs>
          <w:tab w:val="left" w:pos="2553"/>
        </w:tabs>
        <w:spacing w:after="120" w:line="360" w:lineRule="auto"/>
        <w:rPr>
          <w:rFonts w:ascii="Arial" w:hAnsi="Arial"/>
          <w:noProof w:val="0"/>
          <w:rtl/>
        </w:rPr>
      </w:pPr>
    </w:p>
    <w:sectPr w:rsidR="00694556" w:rsidSect="006C30C5">
      <w:headerReference w:type="even" r:id="rId13"/>
      <w:headerReference w:type="default" r:id="rId14"/>
      <w:footerReference w:type="even" r:id="rId15"/>
      <w:footerReference w:type="default" r:id="rId16"/>
      <w:headerReference w:type="first" r:id="rId17"/>
      <w:footerReference w:type="first" r:id="rId18"/>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942" w:rsidRDefault="00CB0942">
      <w:r>
        <w:separator/>
      </w:r>
    </w:p>
  </w:endnote>
  <w:endnote w:type="continuationSeparator" w:id="0">
    <w:p w:rsidR="00CB0942" w:rsidRDefault="00CB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A20" w:rsidRDefault="00A64A2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64A2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64A20">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A20" w:rsidRDefault="00A64A2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942" w:rsidRDefault="00CB0942">
      <w:r>
        <w:separator/>
      </w:r>
    </w:p>
  </w:footnote>
  <w:footnote w:type="continuationSeparator" w:id="0">
    <w:p w:rsidR="00CB0942" w:rsidRDefault="00CB0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A20" w:rsidRDefault="00A64A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B0942" w:rsidP="001A1F3D">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19419-02-23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1A1F3D">
                <w:rPr>
                  <w:rFonts w:hint="cs"/>
                  <w:b/>
                  <w:bCs/>
                  <w:noProof w:val="0"/>
                  <w:sz w:val="26"/>
                  <w:szCs w:val="26"/>
                  <w:rtl/>
                </w:rPr>
                <w:t>פלונית</w:t>
              </w:r>
              <w:r w:rsidR="00064651">
                <w:rPr>
                  <w:b/>
                  <w:bCs/>
                  <w:noProof w:val="0"/>
                  <w:sz w:val="26"/>
                  <w:szCs w:val="26"/>
                  <w:rtl/>
                </w:rPr>
                <w:t xml:space="preserve"> ואח' נ' </w:t>
              </w:r>
              <w:r w:rsidR="001A1F3D">
                <w:rPr>
                  <w:rFonts w:hint="cs"/>
                  <w:b/>
                  <w:bCs/>
                  <w:noProof w:val="0"/>
                  <w:sz w:val="26"/>
                  <w:szCs w:val="26"/>
                  <w:rtl/>
                </w:rPr>
                <w:t>קטין</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131305_4</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A20" w:rsidRDefault="00A64A2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62738"/>
    <w:multiLevelType w:val="hybridMultilevel"/>
    <w:tmpl w:val="556470E4"/>
    <w:lvl w:ilvl="0" w:tplc="4EE63E1A">
      <w:start w:val="1"/>
      <w:numFmt w:val="decimal"/>
      <w:lvlText w:val="%1."/>
      <w:lvlJc w:val="left"/>
      <w:pPr>
        <w:ind w:left="720" w:hanging="360"/>
      </w:pPr>
      <w:rPr>
        <w:rFonts w:ascii="David" w:hAnsi="David"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0D343A"/>
    <w:multiLevelType w:val="hybridMultilevel"/>
    <w:tmpl w:val="2948F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0175BD"/>
    <w:multiLevelType w:val="hybridMultilevel"/>
    <w:tmpl w:val="2B2230F4"/>
    <w:lvl w:ilvl="0" w:tplc="54689D6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901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90110&amp;lt;/CaseID&amp;gt;_x000d__x000a_        &amp;lt;CaseMonth&amp;gt;2&amp;lt;/CaseMonth&amp;gt;_x000d__x000a_        &amp;lt;CaseYear&amp;gt;2023&amp;lt;/CaseYear&amp;gt;_x000d__x000a_        &amp;lt;CaseNumber&amp;gt;19419&amp;lt;/CaseNumber&amp;gt;_x000d__x000a_        &amp;lt;NumeratorGroupID&amp;gt;1&amp;lt;/NumeratorGroupID&amp;gt;_x000d__x000a_        &amp;lt;CaseName&amp;gt;זריהם ואח&amp;#39; נ&amp;#39; גבאי(המנוח) ואח&amp;#39;&amp;lt;/CaseName&amp;gt;_x000d__x000a_        &amp;lt;CourtID&amp;gt;28&amp;lt;/CourtID&amp;gt;_x000d__x000a_        &amp;lt;CaseTypeID&amp;gt;86&amp;lt;/CaseTypeID&amp;gt;_x000d__x000a_        &amp;lt;CaseInterestID&amp;gt;10298&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419-02-23&amp;lt;/CaseDisplayIdentifier&amp;gt;_x000d__x000a_        &amp;lt;CaseTypeDesc&amp;gt;ת&amp;quot;ע&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2-08T09:16:00+02:00&amp;lt;/CaseOpenDate&amp;gt;_x000d__x000a_        &amp;lt;PleaTypeID&amp;gt;5&amp;lt;/PleaTypeID&amp;gt;_x000d__x000a_        &amp;lt;CourtLevelID&amp;gt;1&amp;lt;/CourtLevelID&amp;gt;_x000d__x000a_        &amp;lt;CourtLevelCaseTypeInterestID&amp;gt;1112&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90110&amp;lt;/CaseID&amp;gt;_x000d__x000a_        &amp;lt;CaseMonth&amp;gt;2&amp;lt;/CaseMonth&amp;gt;_x000d__x000a_        &amp;lt;CaseYear&amp;gt;2023&amp;lt;/CaseYear&amp;gt;_x000d__x000a_        &amp;lt;CaseNumber&amp;gt;19419&amp;lt;/CaseNumber&amp;gt;_x000d__x000a_        &amp;lt;NumeratorGroupID&amp;gt;1&amp;lt;/NumeratorGroupID&amp;gt;_x000d__x000a_        &amp;lt;CaseName&amp;gt;זריהם ואח&amp;#39; נ&amp;#39; גבאי(המנוח) ואח&amp;#39;&amp;lt;/CaseName&amp;gt;_x000d__x000a_        &amp;lt;CourtID&amp;gt;28&amp;lt;/CourtID&amp;gt;_x000d__x000a_        &amp;lt;CaseTypeID&amp;gt;86&amp;lt;/CaseTypeID&amp;gt;_x000d__x000a_        &amp;lt;CaseInterestID&amp;gt;10298&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419-02-23&amp;lt;/CaseDisplayIdentifier&amp;gt;_x000d__x000a_        &amp;lt;CaseTypeDesc&amp;gt;ת&amp;quot;ע&amp;lt;/CaseTypeDesc&amp;gt;_x000d__x000a_        &amp;lt;CourtDesc&amp;gt;שלום חדרה&amp;lt;/CourtDesc&amp;gt;_x000d__x000a_        &amp;lt;CaseStageDesc&amp;gt;תיק אלקטרוני&amp;lt;/CaseStageDesc&amp;gt;_x000d__x000a_        &amp;lt;CaseNextDeterminingTask&amp;gt;34&amp;lt;/CaseNextDeterminingTask&amp;gt;_x000d__x000a_        &amp;lt;CaseOpenDate&amp;gt;2023-02-08T09:16:00+02:00&amp;lt;/CaseOpenDate&amp;gt;_x000d__x000a_        &amp;lt;PleaTypeID&amp;gt;5&amp;lt;/PleaTypeID&amp;gt;_x000d__x000a_        &amp;lt;CourtLevelID&amp;gt;1&amp;lt;/CourtLevelID&amp;gt;_x000d__x000a_        &amp;lt;CourtLevelCaseTypeInterestID&amp;gt;1112&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01529&amp;lt;/DecisionID&amp;gt;_x000d__x000a_        &amp;lt;DecisionName&amp;gt;החלטה  שניתנה ע&amp;quot;י  יפעת שקדי שץ&amp;lt;/DecisionName&amp;gt;_x000d__x000a_        &amp;lt;DecisionStatusID&amp;gt;1&amp;lt;/DecisionStatusID&amp;gt;_x000d__x000a_        &amp;lt;DecisionStatusChangeDate&amp;gt;2024-07-31T10:03:19.85+03:00&amp;lt;/DecisionStatusChangeDate&amp;gt;_x000d__x000a_        &amp;lt;DecisionSignatureDate&amp;gt;2024-07-28T11:17:36.523+03:00&amp;lt;/DecisionSignatureDate&amp;gt;_x000d__x000a_        &amp;lt;DecisionSignatureUserID&amp;gt;034342147@GOV.IL&amp;lt;/DecisionSignatureUserID&amp;gt;_x000d__x000a_        &amp;lt;DecisionCreateDate&amp;gt;2024-07-28T11:24:17.317+03:00&amp;lt;/DecisionCreateDate&amp;gt;_x000d__x000a_        &amp;lt;DecisionChangeDate&amp;gt;2024-07-31T10:03:19.933+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93923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החלטה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3101529&amp;lt;/DecisionID&amp;gt;_x000d__x000a_        &amp;lt;CaseID&amp;gt;79990110&amp;lt;/CaseID&amp;gt;_x000d__x000a_        &amp;lt;IsOriginal&amp;gt;true&amp;lt;/IsOriginal&amp;gt;_x000d__x000a_        &amp;lt;IsDeleted&amp;gt;false&amp;lt;/IsDeleted&amp;gt;_x000d__x000a_        &amp;lt;CaseName&amp;gt;זריהם ואח&amp;#39; נ&amp;#39; גבאי(המנוח) ואח&amp;#39;&amp;lt;/CaseName&amp;gt;_x000d__x000a_        &amp;lt;CaseDisplayIdentifier&amp;gt;19419-02-23 ת&amp;quot;ע&amp;lt;/CaseDisplayIdentifier&amp;gt;_x000d__x000a_      &amp;lt;/dt_DecisionCase&amp;gt;_x000d__x000a_    &amp;lt;/DecisionDS&amp;gt;_x000d__x000a_  &amp;lt;/diffgr:diffgram&amp;gt;_x000d__x000a_&amp;lt;/DecisionDS&amp;gt;"/>
    <w:docVar w:name="DecisionID" w:val="153101529"/>
    <w:docVar w:name="WordClientAssemblyName" w:val="NGCS.Decision.ClientWordBL"/>
    <w:docVar w:name="WordClientClassName" w:val="NGCS.Decision.ClientWordBL.DecisionClient"/>
  </w:docVars>
  <w:rsids>
    <w:rsidRoot w:val="00694556"/>
    <w:rsid w:val="00000062"/>
    <w:rsid w:val="0000226B"/>
    <w:rsid w:val="00005C8B"/>
    <w:rsid w:val="000068A1"/>
    <w:rsid w:val="000229A1"/>
    <w:rsid w:val="00045F13"/>
    <w:rsid w:val="000529D2"/>
    <w:rsid w:val="00055893"/>
    <w:rsid w:val="000564AB"/>
    <w:rsid w:val="00064651"/>
    <w:rsid w:val="00064FBD"/>
    <w:rsid w:val="00074009"/>
    <w:rsid w:val="00074F4E"/>
    <w:rsid w:val="00082AB2"/>
    <w:rsid w:val="000906FE"/>
    <w:rsid w:val="00093AF9"/>
    <w:rsid w:val="00095548"/>
    <w:rsid w:val="00096AF7"/>
    <w:rsid w:val="000B344B"/>
    <w:rsid w:val="000B371F"/>
    <w:rsid w:val="000B47AB"/>
    <w:rsid w:val="000C3B0F"/>
    <w:rsid w:val="000C3B60"/>
    <w:rsid w:val="000D29AB"/>
    <w:rsid w:val="000E0DD2"/>
    <w:rsid w:val="000E3AF1"/>
    <w:rsid w:val="000F0BC8"/>
    <w:rsid w:val="000F0DD6"/>
    <w:rsid w:val="000F544E"/>
    <w:rsid w:val="0010716E"/>
    <w:rsid w:val="00107E6D"/>
    <w:rsid w:val="0011194C"/>
    <w:rsid w:val="00112E4C"/>
    <w:rsid w:val="0011424C"/>
    <w:rsid w:val="001173C6"/>
    <w:rsid w:val="00124FFA"/>
    <w:rsid w:val="001367BC"/>
    <w:rsid w:val="0014425D"/>
    <w:rsid w:val="00144D2A"/>
    <w:rsid w:val="0014653E"/>
    <w:rsid w:val="00180519"/>
    <w:rsid w:val="00182646"/>
    <w:rsid w:val="001857AA"/>
    <w:rsid w:val="00191C82"/>
    <w:rsid w:val="001A0974"/>
    <w:rsid w:val="001A1F3D"/>
    <w:rsid w:val="001A7DF9"/>
    <w:rsid w:val="001B105E"/>
    <w:rsid w:val="001C4003"/>
    <w:rsid w:val="001D4DBF"/>
    <w:rsid w:val="001D7E01"/>
    <w:rsid w:val="001E7370"/>
    <w:rsid w:val="001E75CA"/>
    <w:rsid w:val="002153AE"/>
    <w:rsid w:val="002265FF"/>
    <w:rsid w:val="00227781"/>
    <w:rsid w:val="00234943"/>
    <w:rsid w:val="00260CA7"/>
    <w:rsid w:val="002643DE"/>
    <w:rsid w:val="00271B56"/>
    <w:rsid w:val="0028443A"/>
    <w:rsid w:val="002B285C"/>
    <w:rsid w:val="002C344E"/>
    <w:rsid w:val="002C3F4A"/>
    <w:rsid w:val="002D14DB"/>
    <w:rsid w:val="002E75E9"/>
    <w:rsid w:val="00307A6A"/>
    <w:rsid w:val="00307C40"/>
    <w:rsid w:val="003112DD"/>
    <w:rsid w:val="0031177C"/>
    <w:rsid w:val="00320433"/>
    <w:rsid w:val="003230C7"/>
    <w:rsid w:val="00327E50"/>
    <w:rsid w:val="0033597A"/>
    <w:rsid w:val="00343D89"/>
    <w:rsid w:val="00362612"/>
    <w:rsid w:val="0036743F"/>
    <w:rsid w:val="003715DD"/>
    <w:rsid w:val="003823E0"/>
    <w:rsid w:val="003A4521"/>
    <w:rsid w:val="003C5D77"/>
    <w:rsid w:val="003D1C8C"/>
    <w:rsid w:val="003D2759"/>
    <w:rsid w:val="003F1F4E"/>
    <w:rsid w:val="003F1FA1"/>
    <w:rsid w:val="003F6D6F"/>
    <w:rsid w:val="0040096C"/>
    <w:rsid w:val="004018BC"/>
    <w:rsid w:val="00414F1F"/>
    <w:rsid w:val="004163E1"/>
    <w:rsid w:val="0043125D"/>
    <w:rsid w:val="0043502B"/>
    <w:rsid w:val="004443AC"/>
    <w:rsid w:val="00444B02"/>
    <w:rsid w:val="0044714F"/>
    <w:rsid w:val="00451E28"/>
    <w:rsid w:val="00462C62"/>
    <w:rsid w:val="00465D36"/>
    <w:rsid w:val="00477A1B"/>
    <w:rsid w:val="00483AAE"/>
    <w:rsid w:val="004A4908"/>
    <w:rsid w:val="004A7599"/>
    <w:rsid w:val="004C17EE"/>
    <w:rsid w:val="004C1E44"/>
    <w:rsid w:val="004C3872"/>
    <w:rsid w:val="004C4BDF"/>
    <w:rsid w:val="004C72DE"/>
    <w:rsid w:val="004D1187"/>
    <w:rsid w:val="004D225A"/>
    <w:rsid w:val="004D288C"/>
    <w:rsid w:val="004D3AA0"/>
    <w:rsid w:val="004E1987"/>
    <w:rsid w:val="004E2E15"/>
    <w:rsid w:val="004E6E3C"/>
    <w:rsid w:val="004E7541"/>
    <w:rsid w:val="004F2ACF"/>
    <w:rsid w:val="00516D07"/>
    <w:rsid w:val="00520898"/>
    <w:rsid w:val="00521DCB"/>
    <w:rsid w:val="00523621"/>
    <w:rsid w:val="005241A3"/>
    <w:rsid w:val="00524986"/>
    <w:rsid w:val="005268F6"/>
    <w:rsid w:val="005328E4"/>
    <w:rsid w:val="00534284"/>
    <w:rsid w:val="005358CA"/>
    <w:rsid w:val="00542B97"/>
    <w:rsid w:val="00547DB7"/>
    <w:rsid w:val="00583054"/>
    <w:rsid w:val="005A4BF9"/>
    <w:rsid w:val="005B3403"/>
    <w:rsid w:val="005D376E"/>
    <w:rsid w:val="005D7F0A"/>
    <w:rsid w:val="005F4F09"/>
    <w:rsid w:val="0060580E"/>
    <w:rsid w:val="00606D3D"/>
    <w:rsid w:val="0061431B"/>
    <w:rsid w:val="00622BAA"/>
    <w:rsid w:val="006306CF"/>
    <w:rsid w:val="00644E9A"/>
    <w:rsid w:val="00653449"/>
    <w:rsid w:val="0065356F"/>
    <w:rsid w:val="00656743"/>
    <w:rsid w:val="00665496"/>
    <w:rsid w:val="00667E67"/>
    <w:rsid w:val="00671BD5"/>
    <w:rsid w:val="006805C1"/>
    <w:rsid w:val="00686C21"/>
    <w:rsid w:val="006873F3"/>
    <w:rsid w:val="006915E7"/>
    <w:rsid w:val="006931C1"/>
    <w:rsid w:val="00694556"/>
    <w:rsid w:val="00696426"/>
    <w:rsid w:val="006B739C"/>
    <w:rsid w:val="006C30C5"/>
    <w:rsid w:val="006C3854"/>
    <w:rsid w:val="006C4820"/>
    <w:rsid w:val="006D2C3D"/>
    <w:rsid w:val="006D3B31"/>
    <w:rsid w:val="006E0D96"/>
    <w:rsid w:val="006E1A53"/>
    <w:rsid w:val="006F56E6"/>
    <w:rsid w:val="00704EDA"/>
    <w:rsid w:val="00721122"/>
    <w:rsid w:val="007236C0"/>
    <w:rsid w:val="00740409"/>
    <w:rsid w:val="00753019"/>
    <w:rsid w:val="00754801"/>
    <w:rsid w:val="00761441"/>
    <w:rsid w:val="0076262A"/>
    <w:rsid w:val="007700AF"/>
    <w:rsid w:val="007756D1"/>
    <w:rsid w:val="00795365"/>
    <w:rsid w:val="007A351D"/>
    <w:rsid w:val="007B7765"/>
    <w:rsid w:val="007C5BDD"/>
    <w:rsid w:val="007C6F42"/>
    <w:rsid w:val="007D172B"/>
    <w:rsid w:val="007D45E3"/>
    <w:rsid w:val="007D5110"/>
    <w:rsid w:val="007E6115"/>
    <w:rsid w:val="007F4609"/>
    <w:rsid w:val="00814468"/>
    <w:rsid w:val="008176A1"/>
    <w:rsid w:val="00820005"/>
    <w:rsid w:val="00824F3A"/>
    <w:rsid w:val="00833822"/>
    <w:rsid w:val="00836829"/>
    <w:rsid w:val="008426D7"/>
    <w:rsid w:val="00844318"/>
    <w:rsid w:val="0086061C"/>
    <w:rsid w:val="00863F5D"/>
    <w:rsid w:val="00870890"/>
    <w:rsid w:val="00873602"/>
    <w:rsid w:val="00875D12"/>
    <w:rsid w:val="00881CCE"/>
    <w:rsid w:val="0088479D"/>
    <w:rsid w:val="00893BBD"/>
    <w:rsid w:val="00896889"/>
    <w:rsid w:val="00897DAF"/>
    <w:rsid w:val="008C5714"/>
    <w:rsid w:val="008D10B2"/>
    <w:rsid w:val="008E6285"/>
    <w:rsid w:val="008F080D"/>
    <w:rsid w:val="0090248E"/>
    <w:rsid w:val="00903896"/>
    <w:rsid w:val="00906F3D"/>
    <w:rsid w:val="00914DE4"/>
    <w:rsid w:val="009325A1"/>
    <w:rsid w:val="0094424E"/>
    <w:rsid w:val="00946EA5"/>
    <w:rsid w:val="00955642"/>
    <w:rsid w:val="009556E7"/>
    <w:rsid w:val="009622DF"/>
    <w:rsid w:val="0096493F"/>
    <w:rsid w:val="009650DB"/>
    <w:rsid w:val="00967DFF"/>
    <w:rsid w:val="00994341"/>
    <w:rsid w:val="00996935"/>
    <w:rsid w:val="009C0B14"/>
    <w:rsid w:val="009C15CF"/>
    <w:rsid w:val="009D1A48"/>
    <w:rsid w:val="009E1CE7"/>
    <w:rsid w:val="009E4EA5"/>
    <w:rsid w:val="009F164B"/>
    <w:rsid w:val="009F323C"/>
    <w:rsid w:val="00A1014C"/>
    <w:rsid w:val="00A1057A"/>
    <w:rsid w:val="00A1114B"/>
    <w:rsid w:val="00A319FF"/>
    <w:rsid w:val="00A3392B"/>
    <w:rsid w:val="00A37B9F"/>
    <w:rsid w:val="00A60313"/>
    <w:rsid w:val="00A64A20"/>
    <w:rsid w:val="00A85E34"/>
    <w:rsid w:val="00A92C13"/>
    <w:rsid w:val="00A94B64"/>
    <w:rsid w:val="00AA3229"/>
    <w:rsid w:val="00AA5905"/>
    <w:rsid w:val="00AA7596"/>
    <w:rsid w:val="00AB5E52"/>
    <w:rsid w:val="00AC1527"/>
    <w:rsid w:val="00AC30D6"/>
    <w:rsid w:val="00AC3B02"/>
    <w:rsid w:val="00AC3B7B"/>
    <w:rsid w:val="00AC5209"/>
    <w:rsid w:val="00AE0E34"/>
    <w:rsid w:val="00AE64A9"/>
    <w:rsid w:val="00AE729E"/>
    <w:rsid w:val="00AE7752"/>
    <w:rsid w:val="00AF7FDA"/>
    <w:rsid w:val="00B04796"/>
    <w:rsid w:val="00B15729"/>
    <w:rsid w:val="00B22A1E"/>
    <w:rsid w:val="00B230F2"/>
    <w:rsid w:val="00B5356E"/>
    <w:rsid w:val="00B63D93"/>
    <w:rsid w:val="00B71435"/>
    <w:rsid w:val="00B809AD"/>
    <w:rsid w:val="00B80CBD"/>
    <w:rsid w:val="00B84D07"/>
    <w:rsid w:val="00B86096"/>
    <w:rsid w:val="00B964D9"/>
    <w:rsid w:val="00BA0A7C"/>
    <w:rsid w:val="00BA517C"/>
    <w:rsid w:val="00BB3D05"/>
    <w:rsid w:val="00BB73BE"/>
    <w:rsid w:val="00BC2D89"/>
    <w:rsid w:val="00BD5270"/>
    <w:rsid w:val="00BD6531"/>
    <w:rsid w:val="00BE05B2"/>
    <w:rsid w:val="00BF1908"/>
    <w:rsid w:val="00C14204"/>
    <w:rsid w:val="00C22D93"/>
    <w:rsid w:val="00C23458"/>
    <w:rsid w:val="00C236EB"/>
    <w:rsid w:val="00C31120"/>
    <w:rsid w:val="00C34482"/>
    <w:rsid w:val="00C43648"/>
    <w:rsid w:val="00C4467B"/>
    <w:rsid w:val="00C50A9F"/>
    <w:rsid w:val="00C575B6"/>
    <w:rsid w:val="00C642FA"/>
    <w:rsid w:val="00C72548"/>
    <w:rsid w:val="00C83C87"/>
    <w:rsid w:val="00CB0942"/>
    <w:rsid w:val="00CB417C"/>
    <w:rsid w:val="00CC7622"/>
    <w:rsid w:val="00CD608F"/>
    <w:rsid w:val="00CE54A8"/>
    <w:rsid w:val="00CF6827"/>
    <w:rsid w:val="00CF6BB7"/>
    <w:rsid w:val="00D03E43"/>
    <w:rsid w:val="00D04AA4"/>
    <w:rsid w:val="00D07D69"/>
    <w:rsid w:val="00D236D3"/>
    <w:rsid w:val="00D27982"/>
    <w:rsid w:val="00D33B86"/>
    <w:rsid w:val="00D3728A"/>
    <w:rsid w:val="00D44968"/>
    <w:rsid w:val="00D50206"/>
    <w:rsid w:val="00D53924"/>
    <w:rsid w:val="00D55D0C"/>
    <w:rsid w:val="00D602C6"/>
    <w:rsid w:val="00D606BF"/>
    <w:rsid w:val="00D64A38"/>
    <w:rsid w:val="00D7036B"/>
    <w:rsid w:val="00D759CF"/>
    <w:rsid w:val="00D834C5"/>
    <w:rsid w:val="00D91410"/>
    <w:rsid w:val="00D96D8C"/>
    <w:rsid w:val="00DA6649"/>
    <w:rsid w:val="00DC1259"/>
    <w:rsid w:val="00DC1BD2"/>
    <w:rsid w:val="00DC2571"/>
    <w:rsid w:val="00DC487C"/>
    <w:rsid w:val="00DC537A"/>
    <w:rsid w:val="00DC71D5"/>
    <w:rsid w:val="00DD7F85"/>
    <w:rsid w:val="00DE1E7D"/>
    <w:rsid w:val="00DE551D"/>
    <w:rsid w:val="00DE6BF6"/>
    <w:rsid w:val="00E04E84"/>
    <w:rsid w:val="00E1068A"/>
    <w:rsid w:val="00E25884"/>
    <w:rsid w:val="00E25B55"/>
    <w:rsid w:val="00E31C2B"/>
    <w:rsid w:val="00E46F7E"/>
    <w:rsid w:val="00E5426A"/>
    <w:rsid w:val="00E54642"/>
    <w:rsid w:val="00E54CD9"/>
    <w:rsid w:val="00E61A5D"/>
    <w:rsid w:val="00E65E30"/>
    <w:rsid w:val="00E80CBE"/>
    <w:rsid w:val="00E86BFE"/>
    <w:rsid w:val="00E86C2D"/>
    <w:rsid w:val="00E962E3"/>
    <w:rsid w:val="00EA1CD2"/>
    <w:rsid w:val="00EB6C79"/>
    <w:rsid w:val="00EC37E9"/>
    <w:rsid w:val="00F033BA"/>
    <w:rsid w:val="00F038D8"/>
    <w:rsid w:val="00F06995"/>
    <w:rsid w:val="00F126FF"/>
    <w:rsid w:val="00F13623"/>
    <w:rsid w:val="00F166FC"/>
    <w:rsid w:val="00F34191"/>
    <w:rsid w:val="00F343E9"/>
    <w:rsid w:val="00F36168"/>
    <w:rsid w:val="00F44D1D"/>
    <w:rsid w:val="00F84B6D"/>
    <w:rsid w:val="00F87B6B"/>
    <w:rsid w:val="00F957E8"/>
    <w:rsid w:val="00FA311A"/>
    <w:rsid w:val="00FA5FDA"/>
    <w:rsid w:val="00FB4764"/>
    <w:rsid w:val="00FB6AB3"/>
    <w:rsid w:val="00FD1419"/>
    <w:rsid w:val="00FD4C34"/>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B22A1E"/>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83C87"/>
    <w:pPr>
      <w:ind w:left="720"/>
      <w:contextualSpacing/>
    </w:pPr>
  </w:style>
  <w:style w:type="character" w:styleId="Hyperlink">
    <w:name w:val="Hyperlink"/>
    <w:basedOn w:val="a0"/>
    <w:uiPriority w:val="99"/>
    <w:unhideWhenUsed/>
    <w:rsid w:val="004163E1"/>
    <w:rPr>
      <w:color w:val="0000FF"/>
      <w:u w:val="single"/>
    </w:rPr>
  </w:style>
  <w:style w:type="paragraph" w:customStyle="1" w:styleId="ae">
    <w:name w:val="a"/>
    <w:basedOn w:val="a"/>
    <w:rsid w:val="004163E1"/>
    <w:pPr>
      <w:bidi w:val="0"/>
      <w:spacing w:before="100" w:beforeAutospacing="1" w:after="100" w:afterAutospacing="1"/>
    </w:pPr>
    <w:rPr>
      <w:rFonts w:cs="Times New Roman"/>
      <w:noProof w:val="0"/>
    </w:rPr>
  </w:style>
  <w:style w:type="character" w:customStyle="1" w:styleId="50">
    <w:name w:val="כותרת 5 תו"/>
    <w:basedOn w:val="a0"/>
    <w:link w:val="5"/>
    <w:semiHidden/>
    <w:rsid w:val="00B22A1E"/>
    <w:rPr>
      <w:rFonts w:asciiTheme="majorHAnsi" w:eastAsiaTheme="majorEastAsia" w:hAnsiTheme="majorHAnsi" w:cstheme="majorBidi"/>
      <w:noProof/>
      <w:color w:val="365F91" w:themeColor="accent1" w:themeShade="BF"/>
      <w:sz w:val="24"/>
      <w:szCs w:val="24"/>
    </w:rPr>
  </w:style>
  <w:style w:type="paragraph" w:customStyle="1" w:styleId="ruller40">
    <w:name w:val="ruller40"/>
    <w:basedOn w:val="a"/>
    <w:rsid w:val="00F033BA"/>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54482">
      <w:bodyDiv w:val="1"/>
      <w:marLeft w:val="0"/>
      <w:marRight w:val="0"/>
      <w:marTop w:val="0"/>
      <w:marBottom w:val="0"/>
      <w:divBdr>
        <w:top w:val="none" w:sz="0" w:space="0" w:color="auto"/>
        <w:left w:val="none" w:sz="0" w:space="0" w:color="auto"/>
        <w:bottom w:val="none" w:sz="0" w:space="0" w:color="auto"/>
        <w:right w:val="none" w:sz="0" w:space="0" w:color="auto"/>
      </w:divBdr>
    </w:div>
    <w:div w:id="329023150">
      <w:bodyDiv w:val="1"/>
      <w:marLeft w:val="0"/>
      <w:marRight w:val="0"/>
      <w:marTop w:val="0"/>
      <w:marBottom w:val="0"/>
      <w:divBdr>
        <w:top w:val="none" w:sz="0" w:space="0" w:color="auto"/>
        <w:left w:val="none" w:sz="0" w:space="0" w:color="auto"/>
        <w:bottom w:val="none" w:sz="0" w:space="0" w:color="auto"/>
        <w:right w:val="none" w:sz="0" w:space="0" w:color="auto"/>
      </w:divBdr>
    </w:div>
    <w:div w:id="524296386">
      <w:bodyDiv w:val="1"/>
      <w:marLeft w:val="0"/>
      <w:marRight w:val="0"/>
      <w:marTop w:val="0"/>
      <w:marBottom w:val="0"/>
      <w:divBdr>
        <w:top w:val="none" w:sz="0" w:space="0" w:color="auto"/>
        <w:left w:val="none" w:sz="0" w:space="0" w:color="auto"/>
        <w:bottom w:val="none" w:sz="0" w:space="0" w:color="auto"/>
        <w:right w:val="none" w:sz="0" w:space="0" w:color="auto"/>
      </w:divBdr>
    </w:div>
    <w:div w:id="86903315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592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safrut/book/49147"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health.gov.il/publicationsfiles/bap2012.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E0612" w:rsidP="007E061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9DC4FF55E52B4E209349FC40470DD418"/>
        <w:category>
          <w:name w:val="כללי"/>
          <w:gallery w:val="placeholder"/>
        </w:category>
        <w:types>
          <w:type w:val="bbPlcHdr"/>
        </w:types>
        <w:behaviors>
          <w:behavior w:val="content"/>
        </w:behaviors>
        <w:guid w:val="{E82FF086-7D94-42F1-B973-466559375C81}"/>
      </w:docPartPr>
      <w:docPartBody>
        <w:p w:rsidR="007E254A" w:rsidRDefault="002A56A9" w:rsidP="002A56A9">
          <w:pPr>
            <w:pStyle w:val="9DC4FF55E52B4E209349FC40470DD41813"/>
          </w:pPr>
          <w:r w:rsidRPr="00CD608F">
            <w:rPr>
              <w:rFonts w:hint="eastAsia"/>
              <w:b/>
              <w:bCs/>
              <w:sz w:val="26"/>
              <w:szCs w:val="26"/>
              <w:rtl/>
            </w:rPr>
            <w:t>בעניין</w:t>
          </w:r>
          <w:r w:rsidRPr="00CD608F">
            <w:rPr>
              <w:b/>
              <w:bCs/>
              <w:sz w:val="26"/>
              <w:szCs w:val="26"/>
              <w:rtl/>
            </w:rPr>
            <w:t xml:space="preserve"> שם משפחה</w:t>
          </w:r>
        </w:p>
      </w:docPartBody>
    </w:docPart>
    <w:docPart>
      <w:docPartPr>
        <w:name w:val="112E7BE5CCF64A68A3D497F283A4D695"/>
        <w:category>
          <w:name w:val="כללי"/>
          <w:gallery w:val="placeholder"/>
        </w:category>
        <w:types>
          <w:type w:val="bbPlcHdr"/>
        </w:types>
        <w:behaviors>
          <w:behavior w:val="content"/>
        </w:behaviors>
        <w:guid w:val="{09008744-FDED-4925-BF48-871A90A6FBE9}"/>
      </w:docPartPr>
      <w:docPartBody>
        <w:p w:rsidR="007E254A" w:rsidRDefault="002A56A9" w:rsidP="002A56A9">
          <w:pPr>
            <w:pStyle w:val="112E7BE5CCF64A68A3D497F283A4D69513"/>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973EF"/>
    <w:rsid w:val="005157ED"/>
    <w:rsid w:val="00515B1D"/>
    <w:rsid w:val="00556D67"/>
    <w:rsid w:val="00746837"/>
    <w:rsid w:val="00793995"/>
    <w:rsid w:val="007C6F98"/>
    <w:rsid w:val="007E0612"/>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E061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יוסי כהן שוקרון</FullName>
        <FirstName>יוסי</FirstName>
        <LastName>כהן שוקרון</LastName>
        <PartyPropertyName/>
        <AuthenticationTypeAndNumber>מ.ר. 37439</AuthenticationTypeAndNumber>
        <RepresentatedOrRepresentativesNames>סימונה אטיאס</RepresentatedOrRepresentativesNames>
        <RepresentatedOrRepresentativesCount>1</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251763247</CasePartyID>
        <PartyTypeID>2</PartyTypeID>
        <ActivityStatusID>1</ActivityStatusID>
        <PartyAliasID>23</PartyAliasID>
        <PartyAliasName>בא כוח משיבים</PartyAliasName>
        <LegalEntityID>408072</LegalEntityID>
        <CaseLegalEntityID>123136834</CaseLegalEntityID>
        <AuthenticationTypeID>4</AuthenticationTypeID>
        <AuthenticationTypeName>מ.ר.</AuthenticationTypeName>
        <LegalEntityNumber>37439</LegalEntityNumber>
        <IsMainPartyType>true</IsMainPartyType>
        <CaseDisplayIdentifier>19419-02-23</CaseDisplayIdentifier>
        <CaseTypeID>86</CaseTypeID>
        <CaseTypeName>תיק עזבונות (ת"ע)</CaseTypeName>
        <CaseName>זריהם ואח' נ' גבאי(המנוח) ואח'</CaseName>
        <FullAddress>הרברט שמואל 27 חדרה ת.ד 105</FullAddress>
        <EmailAddress>shukruny@smile.net.il</EmailAddress>
        <MotionID>0</MotionID>
        <CasePleaID>0</CasePleaID>
        <FatherName xml:space="preserve">        </FatherName>
        <LinkedCaseID>0</LinkedCaseID>
        <PartyID>2</PartyID>
        <CasePartyCategoryID>2</CasePartyCategoryID>
        <LegalEntityAddressID>73801771</LegalEntityAddressID>
        <LegalEntityEmailAddressID>67846267</LegalEntityEmailAddressID>
        <PleaTypeID>5</PleaTypeID>
        <LawyerOfficeName>משרד עו"ד: יוסי כהן שוקרון</LawyerOfficeName>
        <LawyerOfficeID>448716</LawyerOfficeID>
        <GroupPartyAlias/>
        <IsConverted>false</IsConverted>
        <LegalEntityNameID>29056</LegalEntityNameID>
        <RepresentatedNamesOfAssistant/>
        <LegalEntityTypeID>4</LegalEntityTypeID>
        <IsVerdictExists>false</IsVerdictExists>
        <IsAsirAzir>false</IsAsirAzir>
        <MainAndSecSpec/>
        <IsPublicationProhibited>false</IsPublicationProhibited>
        <PublicationProhibitedFullName>יוסי כהן שוקרון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דינה זריהם</FullName>
        <FirstName>דינה</FirstName>
        <LastName>זריהם</LastName>
        <PartyPropertyName/>
        <AuthenticationTypeAndNumber>ת"ז 056232754</AuthenticationTypeAndNumber>
        <RepresentatedOrRepresentativesNames>ליאן סנדלר</RepresentatedOrRepresentativesNames>
        <RepresentatedOrRepresentativesCount>1</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251728432</CasePartyID>
        <PartyTypeID>1</PartyTypeID>
        <ActivityStatusID>1</ActivityStatusID>
        <PartyAliasID>3</PartyAliasID>
        <PartyAliasName>מבקש</PartyAliasName>
        <OrdinalNumber>1</OrdinalNumber>
        <LegalEntityID>72243761</LegalEntityID>
        <CaseLegalEntityID>123124986</CaseLegalEntityID>
        <AuthenticationTypeID>1</AuthenticationTypeID>
        <AuthenticationTypeName>ת"ז</AuthenticationTypeName>
        <LegalEntityNumber>056232754</LegalEntityNumber>
        <IsMainPartyType>true</IsMainPartyType>
        <CaseDisplayIdentifier>19419-02-23</CaseDisplayIdentifier>
        <CaseTypeID>86</CaseTypeID>
        <CaseTypeName>תיק עזבונות (ת"ע)</CaseTypeName>
        <CaseName>זריהם ואח' נ' גבאי(המנוח) ואח'</CaseName>
        <FullAddress>פדויים 272 פרדס חנה-כרכור </FullAddress>
        <MotionID>0</MotionID>
        <CasePleaID>0</CasePleaID>
        <FatherName>מכלוף</FatherName>
        <LinkedCaseID>0</LinkedCaseID>
        <PartyID>1</PartyID>
        <CasePartyCategoryID>2</CasePartyCategoryID>
        <LegalEntityAddressID>87538533</LegalEntityAddressID>
        <FictitiousPoliceNumber/>
        <PleaTypeID>5</PleaTypeID>
        <GroupPartyAlias>מבקשים</GroupPartyAlias>
        <IsConverted>false</IsConverted>
        <LegalEntityRegisteredNameID>3684067</LegalEntityRegisteredNameID>
        <LegalEntityNameID>94395182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דינה זריהם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ליאן סנדלר</FullName>
        <FirstName>ליאן</FirstName>
        <LastName>סנדלר</LastName>
        <PartyPropertyName/>
        <AuthenticationTypeAndNumber>מ.ר. 13922</AuthenticationTypeAndNumber>
        <RepresentatedOrRepresentativesNames>יהודית גבאי, דינה זריהם</RepresentatedOrRepresentativesNames>
        <RepresentatedOrRepresentativesCount>2</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251728434</CasePartyID>
        <PartyTypeID>2</PartyTypeID>
        <ActivityStatusID>1</ActivityStatusID>
        <PartyAliasID>22</PartyAliasID>
        <PartyAliasName>בא כוח מבקשים</PartyAliasName>
        <OrdinalNumber>1</OrdinalNumber>
        <LegalEntityID>15849273</LegalEntityID>
        <CaseLegalEntityID>123124988</CaseLegalEntityID>
        <AuthenticationTypeID>4</AuthenticationTypeID>
        <AuthenticationTypeName>מ.ר.</AuthenticationTypeName>
        <LegalEntityNumber>13922</LegalEntityNumber>
        <IsMainPartyType>true</IsMainPartyType>
        <CaseDisplayIdentifier>19419-02-23</CaseDisplayIdentifier>
        <CaseTypeID>86</CaseTypeID>
        <CaseTypeName>תיק עזבונות (ת"ע)</CaseTypeName>
        <CaseName>זריהם ואח' נ' גבאי(המנוח) ואח'</CaseName>
        <FullAddress>חבצלת 12 קיסריה ת.ד 4640</FullAddress>
        <MotionID>0</MotionID>
        <CasePleaID>0</CasePleaID>
        <LinkedCaseID>0</LinkedCaseID>
        <PartyID>1</PartyID>
        <CasePartyCategoryID>2</CasePartyCategoryID>
        <LegalEntityAddressID>82390909</LegalEntityAddressID>
        <PleaTypeID>5</PleaTypeID>
        <LawyerOfficeName>משרד עו"ד ליאן סנדלר</LawyerOfficeName>
        <LawyerOfficeID>15849274</LawyerOfficeID>
        <GroupPartyAlias/>
        <IsConverted>false</IsConverted>
        <LegalEntityNameID>17485025</LegalEntityNameID>
        <RepresentatedNamesOfAssistant/>
        <LegalEntityTypeID>4</LegalEntityTypeID>
        <IsVerdictExists>false</IsVerdictExists>
        <IsAsirAzir>false</IsAsirAzir>
        <MainAndSecSpec/>
        <IsPublicationProhibited>false</IsPublicationProhibited>
        <PublicationProhibitedFullName>ליאן סנדלר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רפאל גבאי (המנוח)</FullName>
        <FirstName>רפאל</FirstName>
        <LastName>גבאי</LastName>
        <PartyPropertyID>12</PartyPropertyID>
        <PartyPropertyName/>
        <AuthenticationTypeAndNumber>ת"ז 074923541</AuthenticationTypeAndNumber>
        <RepresentatedOrRepresentativesNames/>
        <RepresentatedOrRepresentativesCount>0</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251728436</CasePartyID>
        <PartyTypeID>1</PartyTypeID>
        <ActivityStatusID>1</ActivityStatusID>
        <PartyAliasID>4</PartyAliasID>
        <PartyAliasName>משיב</PartyAliasName>
        <OrdinalNumber>1</OrdinalNumber>
        <LegalEntityID>71722306</LegalEntityID>
        <CaseLegalEntityID>123124990</CaseLegalEntityID>
        <AuthenticationTypeID>1</AuthenticationTypeID>
        <AuthenticationTypeName>ת"ז</AuthenticationTypeName>
        <LegalEntityNumber>074923541</LegalEntityNumber>
        <IsMainPartyType>true</IsMainPartyType>
        <CaseDisplayIdentifier>19419-02-23</CaseDisplayIdentifier>
        <CaseTypeID>86</CaseTypeID>
        <CaseTypeName>תיק עזבונות (ת"ע)</CaseTypeName>
        <CaseName>זריהם ואח' נ' גבאי(המנוח) ואח'</CaseName>
        <FullAddress/>
        <MotionID>0</MotionID>
        <CasePleaID>0</CasePleaID>
        <BirthDate>1947-12-06T00:00:00+02:00</BirthDate>
        <FatherName>מכלוף   </FatherName>
        <LinkedCaseID>0</LinkedCaseID>
        <PartyID>2</PartyID>
        <CasePartyCategoryID>2</CasePartyCategoryID>
        <PleaTypeID>5</PleaTypeID>
        <GroupPartyAlias>משיבים</GroupPartyAlias>
        <IsConverted>false</IsConverted>
        <LegalEntityRegisteredNameID>3400862</LegalEntityRegisteredNameID>
        <LegalEntityNameID>94395184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גבאי (המנוח)</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יהודית גבאי</FullName>
        <FirstName>יהודית</FirstName>
        <LastName>גבאי</LastName>
        <PartyPropertyName/>
        <AuthenticationTypeAndNumber>ת"ז 053591004</AuthenticationTypeAndNumber>
        <RepresentatedOrRepresentativesNames>ליאן סנדלר</RepresentatedOrRepresentativesNames>
        <RepresentatedOrRepresentativesCount>1</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251728433</CasePartyID>
        <PartyTypeID>1</PartyTypeID>
        <ActivityStatusID>1</ActivityStatusID>
        <PartyAliasID>3</PartyAliasID>
        <PartyAliasName>מבקש</PartyAliasName>
        <OrdinalNumber>2</OrdinalNumber>
        <LegalEntityID>69580751</LegalEntityID>
        <CaseLegalEntityID>123124987</CaseLegalEntityID>
        <AuthenticationTypeID>1</AuthenticationTypeID>
        <AuthenticationTypeName>ת"ז</AuthenticationTypeName>
        <LegalEntityNumber>053591004</LegalEntityNumber>
        <IsMainPartyType>true</IsMainPartyType>
        <CaseDisplayIdentifier>19419-02-23</CaseDisplayIdentifier>
        <CaseTypeID>86</CaseTypeID>
        <CaseTypeName>תיק עזבונות (ת"ע)</CaseTypeName>
        <CaseName>זריהם ואח' נ' גבאי(המנוח) ואח'</CaseName>
        <FullAddress>משה קול 21/14  רמת בית הכרם</FullAddress>
        <MotionID>0</MotionID>
        <CasePleaID>0</CasePleaID>
        <BirthDate>1955-10-07T00:00:00+02:00</BirthDate>
        <FatherName>מכלוף   </FatherName>
        <LinkedCaseID>0</LinkedCaseID>
        <PartyID>1</PartyID>
        <CasePartyCategoryID>2</CasePartyCategoryID>
        <LegalEntityAddressID>87538534</LegalEntityAddressID>
        <PleaTypeID>5</PleaTypeID>
        <GroupPartyAlias>מבקשים</GroupPartyAlias>
        <IsConverted>false</IsConverted>
        <LegalEntityRegisteredNameID>2175102</LegalEntityRegisteredNameID>
        <LegalEntityNameID>94395183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יהודית גבאי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סימונה אטיאס</FullName>
        <FirstName>סימונה</FirstName>
        <LastName>אטיאס</LastName>
        <PartyPropertyName/>
        <AuthenticationTypeAndNumber>ת"ז 022391833</AuthenticationTypeAndNumber>
        <RepresentatedOrRepresentativesNames>יוסי כהן שוקרון</RepresentatedOrRepresentativesNames>
        <RepresentatedOrRepresentativesCount>1</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251728437</CasePartyID>
        <PartyTypeID>1</PartyTypeID>
        <ActivityStatusID>1</ActivityStatusID>
        <PartyAliasID>4</PartyAliasID>
        <PartyAliasName>משיב</PartyAliasName>
        <OrdinalNumber>2</OrdinalNumber>
        <LegalEntityID>71722304</LegalEntityID>
        <CaseLegalEntityID>123124991</CaseLegalEntityID>
        <AuthenticationTypeID>1</AuthenticationTypeID>
        <AuthenticationTypeName>ת"ז</AuthenticationTypeName>
        <LegalEntityNumber>022391833</LegalEntityNumber>
        <IsMainPartyType>true</IsMainPartyType>
        <CaseDisplayIdentifier>19419-02-23</CaseDisplayIdentifier>
        <CaseTypeID>86</CaseTypeID>
        <CaseTypeName>תיק עזבונות (ת"ע)</CaseTypeName>
        <CaseName>זריהם ואח' נ' גבאי(המנוח) ואח'</CaseName>
        <FullAddress>התחיה 3/1 פרדס חנה-כרכור </FullAddress>
        <MotionID>0</MotionID>
        <CasePleaID>0</CasePleaID>
        <BirthDate>1966-05-18T00:00:00+03:00</BirthDate>
        <FatherName>סולומון </FatherName>
        <LinkedCaseID>0</LinkedCaseID>
        <PartyID>2</PartyID>
        <CasePartyCategoryID>2</CasePartyCategoryID>
        <LegalEntityAddressID>87538535</LegalEntityAddressID>
        <PleaTypeID>5</PleaTypeID>
        <GroupPartyAlias>משיבים</GroupPartyAlias>
        <IsConverted>false</IsConverted>
        <LegalEntityRegisteredNameID>3400860</LegalEntityRegisteredNameID>
        <LegalEntityNameID>94395185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סימונה אטיאס</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251728435</CasePartyID>
        <PartyTypeID>1</PartyTypeID>
        <ActivityStatusID>1</ActivityStatusID>
        <PartyAliasID>4</PartyAliasID>
        <PartyAliasName>משיב</PartyAliasName>
        <OrdinalNumber>3</OrdinalNumber>
        <LegalEntityID>15841402</LegalEntityID>
        <CaseLegalEntityID>123124989</CaseLegalEntityID>
        <AuthenticationTypeID>13</AuthenticationTypeID>
        <AuthenticationTypeName>משרדי ממשלה</AuthenticationTypeName>
        <LegalEntityNumber>570000605</LegalEntityNumber>
        <IsMainPartyType>true</IsMainPartyType>
        <CaseDisplayIdentifier>19419-02-23</CaseDisplayIdentifier>
        <CaseTypeID>86</CaseTypeID>
        <CaseTypeName>תיק עזבונות (ת"ע)</CaseTypeName>
        <CaseName>זריהם ואח' נ' גבאי(המנוח)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SelectionDS>
    <DecisionName>החלטה  שניתנה ע"י  יפעת שקדי שץ</DecisionName>
    <CourtDisplayName>בית משפט לענייני משפחה בחדרה</CourtDisplayName>
    <IsCaseJudgePanel>false</IsCaseJudgePanel>
    <DecisionSignatureDate>2024-07-28T11:17:36.5237091+03:00</DecisionSignatureDate>
    <OpenCaseDate>2023-02-08T09:16:00+02:00</OpenCaseDate>
    <CaseFeeSum>0.000</CaseFeeSum>
    <ExternalCaseNumber>131305_4</ExternalCaseNumber>
    <DecisionTypeID>1</DecisionTypeID>
    <DecisionSignatureUserName>יפעת שקדי שץ</DecisionSignatureUserName>
    <DecisionSignatureDateHebrew>2024-07-28T11:17:36.5237091+03:00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InMatterOfDescription>המנוח</InMatterOfDescription>
    <CaseName>זריהם ואח' נ' גבאי(המנוח) ואח'</CaseName>
    <DecisionNumberInCase>14</DecisionNumberInCase>
  </dt_Decision>
  <dt_DecisionCase>
    <DecisionID>0</DecisionID>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יוסי כהן שוקרון</FullName>
        <FirstName>יוסי</FirstName>
        <LastName>כהן שוקרון</LastName>
        <PartyPropertyName/>
        <AuthenticationTypeAndNumber>מ.ר. 37439</AuthenticationTypeAndNumber>
        <RepresentatedOrRepresentativesNames>סימונה אטיאס</RepresentatedOrRepresentativesNames>
        <RepresentatedOrRepresentativesCount>1</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251763247</CasePartyID>
        <PartyTypeID>2</PartyTypeID>
        <ActivityStatusID>1</ActivityStatusID>
        <PartyAliasID>23</PartyAliasID>
        <PartyAliasName>בא כוח משיבים</PartyAliasName>
        <LegalEntityID>408072</LegalEntityID>
        <CaseLegalEntityID>123136834</CaseLegalEntityID>
        <AuthenticationTypeID>4</AuthenticationTypeID>
        <AuthenticationTypeName>מ.ר.</AuthenticationTypeName>
        <LegalEntityNumber>37439</LegalEntityNumber>
        <IsMainPartyType>true</IsMainPartyType>
        <CaseDisplayIdentifier>19419-02-23</CaseDisplayIdentifier>
        <CaseTypeID>86</CaseTypeID>
        <CaseTypeName>תיק עזבונות (ת"ע)</CaseTypeName>
        <CaseName>זריהם ואח' נ' גבאי(המנוח) ואח'</CaseName>
        <FullAddress>הרברט שמואל 27 חדרה ת.ד 105</FullAddress>
        <EmailAddress>shukruny@smile.net.il</EmailAddress>
        <MotionID>0</MotionID>
        <CasePleaID>0</CasePleaID>
        <FatherName xml:space="preserve">        </FatherName>
        <LinkedCaseID>0</LinkedCaseID>
        <PartyID>2</PartyID>
        <CasePartyCategoryID>2</CasePartyCategoryID>
        <LegalEntityAddressID>73801771</LegalEntityAddressID>
        <LegalEntityEmailAddressID>67846267</LegalEntityEmailAddressID>
        <PleaTypeID>5</PleaTypeID>
        <LawyerOfficeName>משרד עו"ד: יוסי כהן שוקרון</LawyerOfficeName>
        <LawyerOfficeID>448716</LawyerOfficeID>
        <GroupPartyAlias/>
        <IsConverted>false</IsConverted>
        <LegalEntityNameID>29056</LegalEntityNameID>
        <RepresentatedNamesOfAssistant/>
        <LegalEntityTypeID>4</LegalEntityTypeID>
        <IsVerdictExists>false</IsVerdictExists>
        <IsAsirAzir>false</IsAsirAzir>
        <MainAndSecSpec/>
        <IsPublicationProhibited>false</IsPublicationProhibited>
        <PublicationProhibitedFullName>יוסי כהן שוקרון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דינה זריהם</FullName>
        <FirstName>דינה</FirstName>
        <LastName>זריהם</LastName>
        <PartyPropertyName/>
        <AuthenticationTypeAndNumber>ת"ז 056232754</AuthenticationTypeAndNumber>
        <RepresentatedOrRepresentativesNames>ליאן סנדלר</RepresentatedOrRepresentativesNames>
        <RepresentatedOrRepresentativesCount>1</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251728432</CasePartyID>
        <PartyTypeID>1</PartyTypeID>
        <ActivityStatusID>1</ActivityStatusID>
        <PartyAliasID>3</PartyAliasID>
        <PartyAliasName>מבקש</PartyAliasName>
        <OrdinalNumber>1</OrdinalNumber>
        <LegalEntityID>72243761</LegalEntityID>
        <CaseLegalEntityID>123124986</CaseLegalEntityID>
        <AuthenticationTypeID>1</AuthenticationTypeID>
        <AuthenticationTypeName>ת"ז</AuthenticationTypeName>
        <LegalEntityNumber>056232754</LegalEntityNumber>
        <IsMainPartyType>true</IsMainPartyType>
        <CaseDisplayIdentifier>19419-02-23</CaseDisplayIdentifier>
        <CaseTypeID>86</CaseTypeID>
        <CaseTypeName>תיק עזבונות (ת"ע)</CaseTypeName>
        <CaseName>זריהם ואח' נ' גבאי(המנוח) ואח'</CaseName>
        <FullAddress>פדויים 272 פרדס חנה-כרכור </FullAddress>
        <MotionID>0</MotionID>
        <CasePleaID>0</CasePleaID>
        <FatherName>מכלוף</FatherName>
        <LinkedCaseID>0</LinkedCaseID>
        <PartyID>1</PartyID>
        <CasePartyCategoryID>2</CasePartyCategoryID>
        <LegalEntityAddressID>87538533</LegalEntityAddressID>
        <FictitiousPoliceNumber/>
        <PleaTypeID>5</PleaTypeID>
        <GroupPartyAlias>מבקשים</GroupPartyAlias>
        <IsConverted>false</IsConverted>
        <LegalEntityRegisteredNameID>3684067</LegalEntityRegisteredNameID>
        <LegalEntityNameID>94395182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דינה זריהם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ליאן סנדלר</FullName>
        <FirstName>ליאן</FirstName>
        <LastName>סנדלר</LastName>
        <PartyPropertyName/>
        <AuthenticationTypeAndNumber>מ.ר. 13922</AuthenticationTypeAndNumber>
        <RepresentatedOrRepresentativesNames>יהודית גבאי, דינה זריהם</RepresentatedOrRepresentativesNames>
        <RepresentatedOrRepresentativesCount>2</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251728434</CasePartyID>
        <PartyTypeID>2</PartyTypeID>
        <ActivityStatusID>1</ActivityStatusID>
        <PartyAliasID>22</PartyAliasID>
        <PartyAliasName>בא כוח מבקשים</PartyAliasName>
        <OrdinalNumber>1</OrdinalNumber>
        <LegalEntityID>15849273</LegalEntityID>
        <CaseLegalEntityID>123124988</CaseLegalEntityID>
        <AuthenticationTypeID>4</AuthenticationTypeID>
        <AuthenticationTypeName>מ.ר.</AuthenticationTypeName>
        <LegalEntityNumber>13922</LegalEntityNumber>
        <IsMainPartyType>true</IsMainPartyType>
        <CaseDisplayIdentifier>19419-02-23</CaseDisplayIdentifier>
        <CaseTypeID>86</CaseTypeID>
        <CaseTypeName>תיק עזבונות (ת"ע)</CaseTypeName>
        <CaseName>זריהם ואח' נ' גבאי(המנוח) ואח'</CaseName>
        <FullAddress>חבצלת 12 קיסריה ת.ד 4640</FullAddress>
        <MotionID>0</MotionID>
        <CasePleaID>0</CasePleaID>
        <LinkedCaseID>0</LinkedCaseID>
        <PartyID>1</PartyID>
        <CasePartyCategoryID>2</CasePartyCategoryID>
        <LegalEntityAddressID>82390909</LegalEntityAddressID>
        <PleaTypeID>5</PleaTypeID>
        <LawyerOfficeName>משרד עו"ד ליאן סנדלר</LawyerOfficeName>
        <LawyerOfficeID>15849274</LawyerOfficeID>
        <GroupPartyAlias/>
        <IsConverted>false</IsConverted>
        <LegalEntityNameID>17485025</LegalEntityNameID>
        <RepresentatedNamesOfAssistant/>
        <LegalEntityTypeID>4</LegalEntityTypeID>
        <IsVerdictExists>false</IsVerdictExists>
        <IsAsirAzir>false</IsAsirAzir>
        <MainAndSecSpec/>
        <IsPublicationProhibited>false</IsPublicationProhibited>
        <PublicationProhibitedFullName>ליאן סנדלר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רפאל גבאי (המנוח)</FullName>
        <FirstName>רפאל</FirstName>
        <LastName>גבאי</LastName>
        <PartyPropertyID>12</PartyPropertyID>
        <PartyPropertyName/>
        <AuthenticationTypeAndNumber>ת"ז 074923541</AuthenticationTypeAndNumber>
        <RepresentatedOrRepresentativesNames/>
        <RepresentatedOrRepresentativesCount>0</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251728436</CasePartyID>
        <PartyTypeID>1</PartyTypeID>
        <ActivityStatusID>1</ActivityStatusID>
        <PartyAliasID>4</PartyAliasID>
        <PartyAliasName>משיב</PartyAliasName>
        <OrdinalNumber>1</OrdinalNumber>
        <LegalEntityID>71722306</LegalEntityID>
        <CaseLegalEntityID>123124990</CaseLegalEntityID>
        <AuthenticationTypeID>1</AuthenticationTypeID>
        <AuthenticationTypeName>ת"ז</AuthenticationTypeName>
        <LegalEntityNumber>074923541</LegalEntityNumber>
        <IsMainPartyType>true</IsMainPartyType>
        <CaseDisplayIdentifier>19419-02-23</CaseDisplayIdentifier>
        <CaseTypeID>86</CaseTypeID>
        <CaseTypeName>תיק עזבונות (ת"ע)</CaseTypeName>
        <CaseName>זריהם ואח' נ' גבאי(המנוח) ואח'</CaseName>
        <FullAddress/>
        <MotionID>0</MotionID>
        <CasePleaID>0</CasePleaID>
        <BirthDate>1947-12-06T00:00:00+02:00</BirthDate>
        <FatherName>מכלוף   </FatherName>
        <LinkedCaseID>0</LinkedCaseID>
        <PartyID>2</PartyID>
        <CasePartyCategoryID>2</CasePartyCategoryID>
        <PleaTypeID>5</PleaTypeID>
        <GroupPartyAlias>משיבים</GroupPartyAlias>
        <IsConverted>false</IsConverted>
        <LegalEntityRegisteredNameID>3400862</LegalEntityRegisteredNameID>
        <LegalEntityNameID>94395184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גבאי (המנוח)</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יהודית גבאי</FullName>
        <FirstName>יהודית</FirstName>
        <LastName>גבאי</LastName>
        <PartyPropertyName/>
        <AuthenticationTypeAndNumber>ת"ז 053591004</AuthenticationTypeAndNumber>
        <RepresentatedOrRepresentativesNames>ליאן סנדלר</RepresentatedOrRepresentativesNames>
        <RepresentatedOrRepresentativesCount>1</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251728433</CasePartyID>
        <PartyTypeID>1</PartyTypeID>
        <ActivityStatusID>1</ActivityStatusID>
        <PartyAliasID>3</PartyAliasID>
        <PartyAliasName>מבקש</PartyAliasName>
        <OrdinalNumber>2</OrdinalNumber>
        <LegalEntityID>69580751</LegalEntityID>
        <CaseLegalEntityID>123124987</CaseLegalEntityID>
        <AuthenticationTypeID>1</AuthenticationTypeID>
        <AuthenticationTypeName>ת"ז</AuthenticationTypeName>
        <LegalEntityNumber>053591004</LegalEntityNumber>
        <IsMainPartyType>true</IsMainPartyType>
        <CaseDisplayIdentifier>19419-02-23</CaseDisplayIdentifier>
        <CaseTypeID>86</CaseTypeID>
        <CaseTypeName>תיק עזבונות (ת"ע)</CaseTypeName>
        <CaseName>זריהם ואח' נ' גבאי(המנוח) ואח'</CaseName>
        <FullAddress>משה קול 21/14  רמת בית הכרם</FullAddress>
        <MotionID>0</MotionID>
        <CasePleaID>0</CasePleaID>
        <BirthDate>1955-10-07T00:00:00+02:00</BirthDate>
        <FatherName>מכלוף   </FatherName>
        <LinkedCaseID>0</LinkedCaseID>
        <PartyID>1</PartyID>
        <CasePartyCategoryID>2</CasePartyCategoryID>
        <LegalEntityAddressID>87538534</LegalEntityAddressID>
        <PleaTypeID>5</PleaTypeID>
        <GroupPartyAlias>מבקשים</GroupPartyAlias>
        <IsConverted>false</IsConverted>
        <LegalEntityRegisteredNameID>2175102</LegalEntityRegisteredNameID>
        <LegalEntityNameID>94395183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יהודית גבאי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סימונה אטיאס</FullName>
        <FirstName>סימונה</FirstName>
        <LastName>אטיאס</LastName>
        <PartyPropertyName/>
        <AuthenticationTypeAndNumber>ת"ז 022391833</AuthenticationTypeAndNumber>
        <RepresentatedOrRepresentativesNames>יוסי כהן שוקרון</RepresentatedOrRepresentativesNames>
        <RepresentatedOrRepresentativesCount>1</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251728437</CasePartyID>
        <PartyTypeID>1</PartyTypeID>
        <ActivityStatusID>1</ActivityStatusID>
        <PartyAliasID>4</PartyAliasID>
        <PartyAliasName>משיב</PartyAliasName>
        <OrdinalNumber>2</OrdinalNumber>
        <LegalEntityID>71722304</LegalEntityID>
        <CaseLegalEntityID>123124991</CaseLegalEntityID>
        <AuthenticationTypeID>1</AuthenticationTypeID>
        <AuthenticationTypeName>ת"ז</AuthenticationTypeName>
        <LegalEntityNumber>022391833</LegalEntityNumber>
        <IsMainPartyType>true</IsMainPartyType>
        <CaseDisplayIdentifier>19419-02-23</CaseDisplayIdentifier>
        <CaseTypeID>86</CaseTypeID>
        <CaseTypeName>תיק עזבונות (ת"ע)</CaseTypeName>
        <CaseName>זריהם ואח' נ' גבאי(המנוח) ואח'</CaseName>
        <FullAddress>התחיה 3/1 פרדס חנה-כרכור </FullAddress>
        <MotionID>0</MotionID>
        <CasePleaID>0</CasePleaID>
        <BirthDate>1966-05-18T00:00:00+03:00</BirthDate>
        <FatherName>סולומון </FatherName>
        <LinkedCaseID>0</LinkedCaseID>
        <PartyID>2</PartyID>
        <CasePartyCategoryID>2</CasePartyCategoryID>
        <LegalEntityAddressID>87538535</LegalEntityAddressID>
        <PleaTypeID>5</PleaTypeID>
        <GroupPartyAlias>משיבים</GroupPartyAlias>
        <IsConverted>false</IsConverted>
        <LegalEntityRegisteredNameID>3400860</LegalEntityRegisteredNameID>
        <LegalEntityNameID>94395185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סימונה אטיאס</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79990110</CaseID>
        <CaseJudicialPersonPresentationDS>
          <CaseJudicalPersonActive>
            <CaseID>79990110</CaseID>
            <JudicialPersonID>034342147@GOV.IL</JudicialPersonID>
            <JudicialPersonTypeID>1</JudicialPersonTypeID>
            <JudicialTypeID>1</JudicialTypeID>
            <IsChairman>false</IsChairman>
            <TreatmentStartDate>2023-02-08T15:02:00.733+02:00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251728435</CasePartyID>
        <PartyTypeID>1</PartyTypeID>
        <ActivityStatusID>1</ActivityStatusID>
        <PartyAliasID>4</PartyAliasID>
        <PartyAliasName>משיב</PartyAliasName>
        <OrdinalNumber>3</OrdinalNumber>
        <LegalEntityID>15841402</LegalEntityID>
        <CaseLegalEntityID>123124989</CaseLegalEntityID>
        <AuthenticationTypeID>13</AuthenticationTypeID>
        <AuthenticationTypeName>משרדי ממשלה</AuthenticationTypeName>
        <LegalEntityNumber>570000605</LegalEntityNumber>
        <IsMainPartyType>true</IsMainPartyType>
        <CaseDisplayIdentifier>19419-02-23</CaseDisplayIdentifier>
        <CaseTypeID>86</CaseTypeID>
        <CaseTypeName>תיק עזבונות (ת"ע)</CaseTypeName>
        <CaseName>זריהם ואח' נ' גבאי(המנוח)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SelectionDS>
    <CaseName>זריהם ואח' נ' גבאי(המנוח) ואח'</CaseName>
    <CaseDisplayIdentifier>19419-02-23</CaseDisplayIdentifier>
    <CaseInterestID>10298</CaseInterestID>
    <CaseTypeShortName>ת"ע</CaseTypeShortName>
  </dt_DecisionCase>
  <dt_DecisionJudgePanel>
    <JudgeID>034342147@GOV.IL</JudgeID>
    <DisplayName>יפעת שקדי שץ</DisplayName>
    <RoleName>שופט</RoleName>
    <UserTitleName>שופטת</UserTitleName>
  </dt_DecisionJudgePanel>
  <dt_LegalEntityDetails>
    <Fax>04-6220148</Fax>
    <Phone>077-4220148</Phone>
    <AddressDesc>ת.ד 105</AddressDesc>
    <PartyID>2</PartyID>
    <PartyTypeID>2</PartyTypeID>
    <DecisionID>0</DecisionID>
    <StreetName>הרברט שמואל 27</StreetName>
    <CityName>חדרה</CityName>
    <FullName>יוסי כהן שוקרון</FullName>
    <Email>shukruny@smile.net.il</Email>
    <IsPublicationProhibited>false</IsPublicationProhibited>
  </dt_LegalEntityDetails>
  <dt_LegalEntityDetails>
    <PartyID>1</PartyID>
    <PartyTypeID>1</PartyTypeID>
    <DecisionID>0</DecisionID>
    <StreetName>פדויים 272</StreetName>
    <CityName>פרדס חנה-כרכור</CityName>
    <FullName>דינה זריהם</FullName>
    <IsPublicationProhibited>false</IsPublicationProhibited>
  </dt_LegalEntityDetails>
  <dt_LegalEntityDetails>
    <Fax>04-6100086</Fax>
    <AddressDesc>ת.ד 4640</AddressDesc>
    <PartyID>1</PartyID>
    <PartyTypeID>2</PartyTypeID>
    <DecisionID>0</DecisionID>
    <StreetName>חבצלת 12</StreetName>
    <ZipCode>35900</ZipCode>
    <CityName>קיסריה</CityName>
    <FullName>ליאן סנדלר</FullName>
    <Email>la@sandlerlaw.co.il</Email>
    <IsPublicationProhibited>false</IsPublicationProhibited>
  </dt_LegalEntityDetails>
  <dt_LegalEntityDetails>
    <PartyID>2</PartyID>
    <PartyTypeID>1</PartyTypeID>
    <DecisionID>0</DecisionID>
    <FullName>רפאל  גבאי</FullName>
    <IsPublicationProhibited>false</IsPublicationProhibited>
  </dt_LegalEntityDetails>
  <dt_LegalEntityDetails>
    <AddressDesc>רמת בית הכרם </AddressDesc>
    <PartyID>1</PartyID>
    <PartyTypeID>1</PartyTypeID>
    <DecisionID>0</DecisionID>
    <StreetName>משה קול 21/14</StreetName>
    <ZipCode>9371527</ZipCode>
    <FullName>יהודית גבאי</FullName>
    <IsPublicationProhibited>false</IsPublicationProhibited>
  </dt_LegalEntityDetails>
  <dt_LegalEntityDetails>
    <PartyID>2</PartyID>
    <PartyTypeID>1</PartyTypeID>
    <DecisionID>0</DecisionID>
    <StreetName>התחיה 3/1</StreetName>
    <CityName>פרדס חנה-כרכור</CityName>
    <FullName>סימונה אטיאס</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CaseJudicalPersonActive>
    <CaseJudicalPerson>שופטת יפעת שקדי שץ</CaseJudicalPerson>
  </dt_CaseJudicalPersonActive>
  <dt_Sitting>
    <PreviousMeetingDate>2024-01-30T11:00:00+02:00</PreviousMeetingDate>
    <PreviousSittingTypeID>1</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t_InMatterOfCase>
    <InMatterOfCaseID>114908</InMatterOfCaseID>
    <AuthenticationTypeID>1</AuthenticationTypeID>
    <AuthenticationNumber>074923541</AuthenticationNumber>
    <FirstName>רפאל</FirstName>
    <LastName>גבאי ז"ל</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EF97A-79A7-42BA-B113-F2550B55EA8F}">
  <ds:schemaRefs/>
</ds:datastoreItem>
</file>

<file path=customXml/itemProps2.xml><?xml version="1.0" encoding="utf-8"?>
<ds:datastoreItem xmlns:ds="http://schemas.openxmlformats.org/officeDocument/2006/customXml" ds:itemID="{A8B0175D-2D28-4DAA-B668-2469672EB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4594</Words>
  <Characters>22973</Characters>
  <Application>Microsoft Office Word</Application>
  <DocSecurity>0</DocSecurity>
  <Lines>191</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2024-08-11T10:24:00Z</dcterms:created>
  <dcterms:modified xsi:type="dcterms:W3CDTF">2024-08-11T10:24:00Z</dcterms:modified>
</cp:coreProperties>
</file>